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ED3D" w14:textId="37AA98C8" w:rsidR="0003054E" w:rsidRDefault="00AE217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Pr>
          <w:rFonts w:ascii="Arial" w:hAnsi="Arial"/>
          <w:b/>
          <w:color w:val="010000"/>
          <w:sz w:val="20"/>
        </w:rPr>
        <w:t>IPA: I</w:t>
      </w:r>
      <w:r w:rsidR="00FE2B0F">
        <w:rPr>
          <w:rFonts w:ascii="Arial" w:hAnsi="Arial"/>
          <w:b/>
          <w:color w:val="010000"/>
          <w:sz w:val="20"/>
        </w:rPr>
        <w:t>nformation Disclosure</w:t>
      </w:r>
      <w:r>
        <w:rPr>
          <w:rFonts w:ascii="Arial" w:hAnsi="Arial"/>
          <w:b/>
          <w:color w:val="010000"/>
          <w:sz w:val="20"/>
        </w:rPr>
        <w:t xml:space="preserve"> on changes in separate and consolidated business results in 2023</w:t>
      </w:r>
    </w:p>
    <w:p w14:paraId="5B341A72" w14:textId="367668C8"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March 30, 2024, I.P.</w:t>
      </w:r>
      <w:proofErr w:type="spellStart"/>
      <w:r>
        <w:rPr>
          <w:rFonts w:ascii="Arial" w:hAnsi="Arial"/>
          <w:color w:val="010000"/>
          <w:sz w:val="20"/>
        </w:rPr>
        <w:t>A</w:t>
      </w:r>
      <w:proofErr w:type="spellEnd"/>
      <w:r>
        <w:rPr>
          <w:rFonts w:ascii="Arial" w:hAnsi="Arial"/>
          <w:color w:val="010000"/>
          <w:sz w:val="20"/>
        </w:rPr>
        <w:t xml:space="preserve"> Investment Group JSC announced Official Dispatch No. 40/2024/IPA as follows:</w:t>
      </w:r>
    </w:p>
    <w:p w14:paraId="605CA2D8"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 Separate Financial Statements</w:t>
      </w:r>
    </w:p>
    <w:p w14:paraId="5CE01800" w14:textId="77777777" w:rsidR="0003054E" w:rsidRDefault="00AE217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Business results in 2023 before and after audit</w:t>
      </w:r>
    </w:p>
    <w:tbl>
      <w:tblPr>
        <w:tblStyle w:val="a"/>
        <w:tblW w:w="9017" w:type="dxa"/>
        <w:tblLayout w:type="fixed"/>
        <w:tblLook w:val="0000" w:firstRow="0" w:lastRow="0" w:firstColumn="0" w:lastColumn="0" w:noHBand="0" w:noVBand="0"/>
      </w:tblPr>
      <w:tblGrid>
        <w:gridCol w:w="2583"/>
        <w:gridCol w:w="1789"/>
        <w:gridCol w:w="1681"/>
        <w:gridCol w:w="1767"/>
        <w:gridCol w:w="1197"/>
      </w:tblGrid>
      <w:tr w:rsidR="0003054E" w14:paraId="2368AECE" w14:textId="77777777">
        <w:tc>
          <w:tcPr>
            <w:tcW w:w="2583" w:type="dxa"/>
            <w:vMerge w:val="restart"/>
            <w:tcBorders>
              <w:top w:val="single" w:sz="4" w:space="0" w:color="000000"/>
              <w:left w:val="single" w:sz="4" w:space="0" w:color="000000"/>
            </w:tcBorders>
            <w:shd w:val="clear" w:color="auto" w:fill="auto"/>
            <w:tcMar>
              <w:top w:w="0" w:type="dxa"/>
              <w:bottom w:w="0" w:type="dxa"/>
            </w:tcMar>
            <w:vAlign w:val="center"/>
          </w:tcPr>
          <w:p w14:paraId="1C05A88B"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1789" w:type="dxa"/>
            <w:tcBorders>
              <w:top w:val="single" w:sz="4" w:space="0" w:color="000000"/>
              <w:left w:val="single" w:sz="4" w:space="0" w:color="000000"/>
            </w:tcBorders>
            <w:shd w:val="clear" w:color="auto" w:fill="auto"/>
            <w:tcMar>
              <w:top w:w="0" w:type="dxa"/>
              <w:bottom w:w="0" w:type="dxa"/>
            </w:tcMar>
            <w:vAlign w:val="center"/>
          </w:tcPr>
          <w:p w14:paraId="201FAF98"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After audit (VND)</w:t>
            </w:r>
          </w:p>
        </w:tc>
        <w:tc>
          <w:tcPr>
            <w:tcW w:w="1681" w:type="dxa"/>
            <w:tcBorders>
              <w:top w:val="single" w:sz="4" w:space="0" w:color="000000"/>
              <w:left w:val="single" w:sz="4" w:space="0" w:color="000000"/>
            </w:tcBorders>
            <w:shd w:val="clear" w:color="auto" w:fill="auto"/>
            <w:tcMar>
              <w:top w:w="0" w:type="dxa"/>
              <w:bottom w:w="0" w:type="dxa"/>
            </w:tcMar>
            <w:vAlign w:val="center"/>
          </w:tcPr>
          <w:p w14:paraId="7AA01E8D"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Before audit (VND)</w:t>
            </w:r>
          </w:p>
        </w:tc>
        <w:tc>
          <w:tcPr>
            <w:tcW w:w="1767" w:type="dxa"/>
            <w:tcBorders>
              <w:top w:val="single" w:sz="4" w:space="0" w:color="000000"/>
              <w:left w:val="single" w:sz="4" w:space="0" w:color="000000"/>
            </w:tcBorders>
            <w:shd w:val="clear" w:color="auto" w:fill="auto"/>
            <w:tcMar>
              <w:top w:w="0" w:type="dxa"/>
              <w:bottom w:w="0" w:type="dxa"/>
            </w:tcMar>
            <w:vAlign w:val="center"/>
          </w:tcPr>
          <w:p w14:paraId="6BC0FA3C"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Difference</w:t>
            </w:r>
          </w:p>
          <w:p w14:paraId="654CC91B"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11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CBEDA5"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r>
      <w:tr w:rsidR="0003054E" w14:paraId="0AFA8841" w14:textId="77777777">
        <w:tc>
          <w:tcPr>
            <w:tcW w:w="2583" w:type="dxa"/>
            <w:vMerge/>
            <w:tcBorders>
              <w:top w:val="single" w:sz="4" w:space="0" w:color="000000"/>
              <w:left w:val="single" w:sz="4" w:space="0" w:color="000000"/>
            </w:tcBorders>
            <w:shd w:val="clear" w:color="auto" w:fill="auto"/>
            <w:tcMar>
              <w:top w:w="0" w:type="dxa"/>
              <w:bottom w:w="0" w:type="dxa"/>
            </w:tcMar>
            <w:vAlign w:val="center"/>
          </w:tcPr>
          <w:p w14:paraId="0206E2D7" w14:textId="77777777" w:rsidR="0003054E" w:rsidRDefault="0003054E">
            <w:pPr>
              <w:pBdr>
                <w:top w:val="nil"/>
                <w:left w:val="nil"/>
                <w:bottom w:val="nil"/>
                <w:right w:val="nil"/>
                <w:between w:val="nil"/>
              </w:pBdr>
              <w:spacing w:line="276" w:lineRule="auto"/>
              <w:rPr>
                <w:rFonts w:ascii="Arial" w:eastAsia="Arial" w:hAnsi="Arial" w:cs="Arial"/>
                <w:color w:val="010000"/>
                <w:sz w:val="20"/>
                <w:szCs w:val="20"/>
              </w:rPr>
            </w:pPr>
          </w:p>
        </w:tc>
        <w:tc>
          <w:tcPr>
            <w:tcW w:w="1789" w:type="dxa"/>
            <w:tcBorders>
              <w:top w:val="single" w:sz="4" w:space="0" w:color="000000"/>
              <w:left w:val="single" w:sz="4" w:space="0" w:color="000000"/>
            </w:tcBorders>
            <w:shd w:val="clear" w:color="auto" w:fill="auto"/>
            <w:tcMar>
              <w:top w:w="0" w:type="dxa"/>
              <w:bottom w:w="0" w:type="dxa"/>
            </w:tcMar>
            <w:vAlign w:val="center"/>
          </w:tcPr>
          <w:p w14:paraId="5D3908F4"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81" w:type="dxa"/>
            <w:tcBorders>
              <w:top w:val="single" w:sz="4" w:space="0" w:color="000000"/>
              <w:left w:val="single" w:sz="4" w:space="0" w:color="000000"/>
            </w:tcBorders>
            <w:shd w:val="clear" w:color="auto" w:fill="auto"/>
            <w:tcMar>
              <w:top w:w="0" w:type="dxa"/>
              <w:bottom w:w="0" w:type="dxa"/>
            </w:tcMar>
            <w:vAlign w:val="center"/>
          </w:tcPr>
          <w:p w14:paraId="701950FB"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67" w:type="dxa"/>
            <w:tcBorders>
              <w:top w:val="single" w:sz="4" w:space="0" w:color="000000"/>
              <w:left w:val="single" w:sz="4" w:space="0" w:color="000000"/>
            </w:tcBorders>
            <w:shd w:val="clear" w:color="auto" w:fill="auto"/>
            <w:tcMar>
              <w:top w:w="0" w:type="dxa"/>
              <w:bottom w:w="0" w:type="dxa"/>
            </w:tcMar>
            <w:vAlign w:val="center"/>
          </w:tcPr>
          <w:p w14:paraId="1644A3F3"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 = (1)-(2)</w:t>
            </w:r>
          </w:p>
        </w:tc>
        <w:tc>
          <w:tcPr>
            <w:tcW w:w="11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525101"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 = (3)/(2)</w:t>
            </w:r>
          </w:p>
        </w:tc>
      </w:tr>
      <w:tr w:rsidR="0003054E" w14:paraId="7348EA14" w14:textId="77777777">
        <w:tc>
          <w:tcPr>
            <w:tcW w:w="25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49E6E0" w14:textId="4DB0A460"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7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2B013B"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4,112,354,056</w:t>
            </w:r>
          </w:p>
        </w:tc>
        <w:tc>
          <w:tcPr>
            <w:tcW w:w="168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DB16D0"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13,433,391,817</w:t>
            </w:r>
          </w:p>
        </w:tc>
        <w:tc>
          <w:tcPr>
            <w:tcW w:w="17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07165C"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-9,321,037,761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F1975E"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w:t>
            </w:r>
          </w:p>
        </w:tc>
      </w:tr>
    </w:tbl>
    <w:p w14:paraId="190F5B5A" w14:textId="02470B1E" w:rsidR="00CC6F9B" w:rsidRDefault="00CC6F9B" w:rsidP="005D50E5">
      <w:pPr>
        <w:pBdr>
          <w:top w:val="nil"/>
          <w:left w:val="nil"/>
          <w:bottom w:val="nil"/>
          <w:right w:val="nil"/>
          <w:between w:val="nil"/>
        </w:pBdr>
        <w:tabs>
          <w:tab w:val="left" w:pos="432"/>
        </w:tabs>
        <w:spacing w:after="120" w:line="360" w:lineRule="auto"/>
        <w:jc w:val="both"/>
        <w:rPr>
          <w:rFonts w:ascii="Arial" w:hAnsi="Arial"/>
          <w:color w:val="010000"/>
          <w:sz w:val="20"/>
        </w:rPr>
      </w:pPr>
      <w:r>
        <w:rPr>
          <w:rFonts w:ascii="Arial" w:hAnsi="Arial"/>
          <w:color w:val="010000"/>
          <w:sz w:val="20"/>
        </w:rPr>
        <w:t>There was a difference in profit after tax in the Separate Financial Statements between before the audit and after the audit, because there are some adjustments in revenue and expenses for financial activities, that led to a decrease in profit.</w:t>
      </w:r>
    </w:p>
    <w:p w14:paraId="7A822768" w14:textId="32419AAD" w:rsidR="00CC6F9B" w:rsidRDefault="00CC6F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Results in 2023 compared to that in 2022</w:t>
      </w:r>
    </w:p>
    <w:tbl>
      <w:tblPr>
        <w:tblStyle w:val="a0"/>
        <w:tblW w:w="9017" w:type="dxa"/>
        <w:tblLayout w:type="fixed"/>
        <w:tblLook w:val="0000" w:firstRow="0" w:lastRow="0" w:firstColumn="0" w:lastColumn="0" w:noHBand="0" w:noVBand="0"/>
      </w:tblPr>
      <w:tblGrid>
        <w:gridCol w:w="2577"/>
        <w:gridCol w:w="1791"/>
        <w:gridCol w:w="1683"/>
        <w:gridCol w:w="1769"/>
        <w:gridCol w:w="1197"/>
      </w:tblGrid>
      <w:tr w:rsidR="0003054E" w14:paraId="3605FD77" w14:textId="77777777">
        <w:tc>
          <w:tcPr>
            <w:tcW w:w="2577" w:type="dxa"/>
            <w:vMerge w:val="restart"/>
            <w:tcBorders>
              <w:top w:val="single" w:sz="4" w:space="0" w:color="000000"/>
              <w:left w:val="single" w:sz="4" w:space="0" w:color="000000"/>
            </w:tcBorders>
            <w:shd w:val="clear" w:color="auto" w:fill="auto"/>
            <w:tcMar>
              <w:top w:w="0" w:type="dxa"/>
              <w:bottom w:w="0" w:type="dxa"/>
            </w:tcMar>
            <w:vAlign w:val="center"/>
          </w:tcPr>
          <w:p w14:paraId="3FC71EF6"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1791" w:type="dxa"/>
            <w:tcBorders>
              <w:top w:val="single" w:sz="4" w:space="0" w:color="000000"/>
              <w:left w:val="single" w:sz="4" w:space="0" w:color="000000"/>
            </w:tcBorders>
            <w:shd w:val="clear" w:color="auto" w:fill="auto"/>
            <w:tcMar>
              <w:top w:w="0" w:type="dxa"/>
              <w:bottom w:w="0" w:type="dxa"/>
            </w:tcMar>
            <w:vAlign w:val="center"/>
          </w:tcPr>
          <w:p w14:paraId="54FB9257"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 (VND)</w:t>
            </w:r>
          </w:p>
        </w:tc>
        <w:tc>
          <w:tcPr>
            <w:tcW w:w="1683" w:type="dxa"/>
            <w:tcBorders>
              <w:top w:val="single" w:sz="4" w:space="0" w:color="000000"/>
              <w:left w:val="single" w:sz="4" w:space="0" w:color="000000"/>
            </w:tcBorders>
            <w:shd w:val="clear" w:color="auto" w:fill="auto"/>
            <w:tcMar>
              <w:top w:w="0" w:type="dxa"/>
              <w:bottom w:w="0" w:type="dxa"/>
            </w:tcMar>
            <w:vAlign w:val="center"/>
          </w:tcPr>
          <w:p w14:paraId="5229FEAD"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2022 (VND)</w:t>
            </w:r>
          </w:p>
        </w:tc>
        <w:tc>
          <w:tcPr>
            <w:tcW w:w="1769" w:type="dxa"/>
            <w:tcBorders>
              <w:top w:val="single" w:sz="4" w:space="0" w:color="000000"/>
              <w:left w:val="single" w:sz="4" w:space="0" w:color="000000"/>
            </w:tcBorders>
            <w:shd w:val="clear" w:color="auto" w:fill="auto"/>
            <w:tcMar>
              <w:top w:w="0" w:type="dxa"/>
              <w:bottom w:w="0" w:type="dxa"/>
            </w:tcMar>
            <w:vAlign w:val="center"/>
          </w:tcPr>
          <w:p w14:paraId="301C2258"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Difference (VND)</w:t>
            </w:r>
          </w:p>
        </w:tc>
        <w:tc>
          <w:tcPr>
            <w:tcW w:w="11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5E483C"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r>
      <w:tr w:rsidR="0003054E" w14:paraId="1472AAC3" w14:textId="77777777">
        <w:tc>
          <w:tcPr>
            <w:tcW w:w="2577" w:type="dxa"/>
            <w:vMerge/>
            <w:tcBorders>
              <w:top w:val="single" w:sz="4" w:space="0" w:color="000000"/>
              <w:left w:val="single" w:sz="4" w:space="0" w:color="000000"/>
            </w:tcBorders>
            <w:shd w:val="clear" w:color="auto" w:fill="auto"/>
            <w:tcMar>
              <w:top w:w="0" w:type="dxa"/>
              <w:bottom w:w="0" w:type="dxa"/>
            </w:tcMar>
            <w:vAlign w:val="center"/>
          </w:tcPr>
          <w:p w14:paraId="1ED985A4" w14:textId="77777777" w:rsidR="0003054E" w:rsidRDefault="0003054E">
            <w:pPr>
              <w:pBdr>
                <w:top w:val="nil"/>
                <w:left w:val="nil"/>
                <w:bottom w:val="nil"/>
                <w:right w:val="nil"/>
                <w:between w:val="nil"/>
              </w:pBdr>
              <w:spacing w:line="276" w:lineRule="auto"/>
              <w:rPr>
                <w:rFonts w:ascii="Arial" w:eastAsia="Arial" w:hAnsi="Arial" w:cs="Arial"/>
                <w:color w:val="010000"/>
                <w:sz w:val="20"/>
                <w:szCs w:val="20"/>
              </w:rPr>
            </w:pPr>
          </w:p>
        </w:tc>
        <w:tc>
          <w:tcPr>
            <w:tcW w:w="1791" w:type="dxa"/>
            <w:tcBorders>
              <w:top w:val="single" w:sz="4" w:space="0" w:color="000000"/>
              <w:left w:val="single" w:sz="4" w:space="0" w:color="000000"/>
            </w:tcBorders>
            <w:shd w:val="clear" w:color="auto" w:fill="auto"/>
            <w:tcMar>
              <w:top w:w="0" w:type="dxa"/>
              <w:bottom w:w="0" w:type="dxa"/>
            </w:tcMar>
            <w:vAlign w:val="center"/>
          </w:tcPr>
          <w:p w14:paraId="19E89C07"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83" w:type="dxa"/>
            <w:tcBorders>
              <w:top w:val="single" w:sz="4" w:space="0" w:color="000000"/>
              <w:left w:val="single" w:sz="4" w:space="0" w:color="000000"/>
            </w:tcBorders>
            <w:shd w:val="clear" w:color="auto" w:fill="auto"/>
            <w:tcMar>
              <w:top w:w="0" w:type="dxa"/>
              <w:bottom w:w="0" w:type="dxa"/>
            </w:tcMar>
            <w:vAlign w:val="center"/>
          </w:tcPr>
          <w:p w14:paraId="0BB67BE8"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69" w:type="dxa"/>
            <w:tcBorders>
              <w:top w:val="single" w:sz="4" w:space="0" w:color="000000"/>
              <w:left w:val="single" w:sz="4" w:space="0" w:color="000000"/>
            </w:tcBorders>
            <w:shd w:val="clear" w:color="auto" w:fill="auto"/>
            <w:tcMar>
              <w:top w:w="0" w:type="dxa"/>
              <w:bottom w:w="0" w:type="dxa"/>
            </w:tcMar>
            <w:vAlign w:val="center"/>
          </w:tcPr>
          <w:p w14:paraId="72BC3212"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 = (1) - (2)</w:t>
            </w:r>
          </w:p>
        </w:tc>
        <w:tc>
          <w:tcPr>
            <w:tcW w:w="11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D9BE9F"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 = (3)/(2)</w:t>
            </w:r>
          </w:p>
        </w:tc>
      </w:tr>
      <w:tr w:rsidR="0003054E" w14:paraId="2865200F" w14:textId="77777777">
        <w:tc>
          <w:tcPr>
            <w:tcW w:w="25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0DBBE2" w14:textId="0C9EE4CC"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7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ED73B1"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4,112,354,056</w:t>
            </w:r>
          </w:p>
        </w:tc>
        <w:tc>
          <w:tcPr>
            <w:tcW w:w="16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7C15AF"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-3,777,254,379</w:t>
            </w:r>
          </w:p>
        </w:tc>
        <w:tc>
          <w:tcPr>
            <w:tcW w:w="17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589FE3"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7,889,608,435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FA7B9D"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209%</w:t>
            </w:r>
          </w:p>
        </w:tc>
      </w:tr>
    </w:tbl>
    <w:p w14:paraId="4A8BBA1D" w14:textId="1B33CC56"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Profit after tax </w:t>
      </w:r>
      <w:r w:rsidR="00CC6F9B">
        <w:rPr>
          <w:rFonts w:ascii="Arial" w:hAnsi="Arial"/>
          <w:color w:val="010000"/>
          <w:sz w:val="20"/>
        </w:rPr>
        <w:t xml:space="preserve">in the Separate Financial Statements </w:t>
      </w:r>
      <w:r>
        <w:rPr>
          <w:rFonts w:ascii="Arial" w:hAnsi="Arial"/>
          <w:color w:val="010000"/>
          <w:sz w:val="20"/>
        </w:rPr>
        <w:t xml:space="preserve">2023 increased by VND 8 billion </w:t>
      </w:r>
      <w:r w:rsidR="00CC6F9B">
        <w:rPr>
          <w:rFonts w:ascii="Arial" w:hAnsi="Arial"/>
          <w:color w:val="010000"/>
          <w:sz w:val="20"/>
        </w:rPr>
        <w:t>mainly</w:t>
      </w:r>
      <w:r>
        <w:rPr>
          <w:rFonts w:ascii="Arial" w:hAnsi="Arial"/>
          <w:color w:val="010000"/>
          <w:sz w:val="20"/>
        </w:rPr>
        <w:t xml:space="preserve"> due to an increase in revenue from service provision.</w:t>
      </w:r>
    </w:p>
    <w:p w14:paraId="6D6FBC21"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Consolidated Financial Statements</w:t>
      </w:r>
    </w:p>
    <w:p w14:paraId="22E31CA5" w14:textId="77777777" w:rsidR="00CC6F9B" w:rsidRDefault="00CC6F9B" w:rsidP="00CC6F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Results in 2023 compared to that in 2022</w:t>
      </w:r>
    </w:p>
    <w:tbl>
      <w:tblPr>
        <w:tblStyle w:val="a1"/>
        <w:tblW w:w="9017" w:type="dxa"/>
        <w:tblLayout w:type="fixed"/>
        <w:tblLook w:val="0000" w:firstRow="0" w:lastRow="0" w:firstColumn="0" w:lastColumn="0" w:noHBand="0" w:noVBand="0"/>
      </w:tblPr>
      <w:tblGrid>
        <w:gridCol w:w="2583"/>
        <w:gridCol w:w="1789"/>
        <w:gridCol w:w="1681"/>
        <w:gridCol w:w="1767"/>
        <w:gridCol w:w="1197"/>
      </w:tblGrid>
      <w:tr w:rsidR="0003054E" w14:paraId="2799731C" w14:textId="77777777">
        <w:tc>
          <w:tcPr>
            <w:tcW w:w="2583" w:type="dxa"/>
            <w:vMerge w:val="restart"/>
            <w:tcBorders>
              <w:top w:val="single" w:sz="4" w:space="0" w:color="000000"/>
              <w:left w:val="single" w:sz="4" w:space="0" w:color="000000"/>
            </w:tcBorders>
            <w:shd w:val="clear" w:color="auto" w:fill="auto"/>
            <w:tcMar>
              <w:top w:w="0" w:type="dxa"/>
              <w:bottom w:w="0" w:type="dxa"/>
            </w:tcMar>
            <w:vAlign w:val="center"/>
          </w:tcPr>
          <w:p w14:paraId="47EF1C47"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1789" w:type="dxa"/>
            <w:tcBorders>
              <w:top w:val="single" w:sz="4" w:space="0" w:color="000000"/>
              <w:left w:val="single" w:sz="4" w:space="0" w:color="000000"/>
            </w:tcBorders>
            <w:shd w:val="clear" w:color="auto" w:fill="auto"/>
            <w:tcMar>
              <w:top w:w="0" w:type="dxa"/>
              <w:bottom w:w="0" w:type="dxa"/>
            </w:tcMar>
            <w:vAlign w:val="center"/>
          </w:tcPr>
          <w:p w14:paraId="3B1C9B3F"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 (VND)</w:t>
            </w:r>
          </w:p>
        </w:tc>
        <w:tc>
          <w:tcPr>
            <w:tcW w:w="1681" w:type="dxa"/>
            <w:tcBorders>
              <w:top w:val="single" w:sz="4" w:space="0" w:color="000000"/>
              <w:left w:val="single" w:sz="4" w:space="0" w:color="000000"/>
            </w:tcBorders>
            <w:shd w:val="clear" w:color="auto" w:fill="auto"/>
            <w:tcMar>
              <w:top w:w="0" w:type="dxa"/>
              <w:bottom w:w="0" w:type="dxa"/>
            </w:tcMar>
            <w:vAlign w:val="center"/>
          </w:tcPr>
          <w:p w14:paraId="537C965A"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2022 (VND)</w:t>
            </w:r>
          </w:p>
        </w:tc>
        <w:tc>
          <w:tcPr>
            <w:tcW w:w="1767" w:type="dxa"/>
            <w:tcBorders>
              <w:top w:val="single" w:sz="4" w:space="0" w:color="000000"/>
              <w:left w:val="single" w:sz="4" w:space="0" w:color="000000"/>
            </w:tcBorders>
            <w:shd w:val="clear" w:color="auto" w:fill="auto"/>
            <w:tcMar>
              <w:top w:w="0" w:type="dxa"/>
              <w:bottom w:w="0" w:type="dxa"/>
            </w:tcMar>
            <w:vAlign w:val="center"/>
          </w:tcPr>
          <w:p w14:paraId="6DA0EC0F"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Difference (VND)</w:t>
            </w:r>
          </w:p>
        </w:tc>
        <w:tc>
          <w:tcPr>
            <w:tcW w:w="11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8CF4D5"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r>
      <w:tr w:rsidR="0003054E" w14:paraId="7016FA1A" w14:textId="77777777">
        <w:tc>
          <w:tcPr>
            <w:tcW w:w="2583" w:type="dxa"/>
            <w:vMerge/>
            <w:tcBorders>
              <w:top w:val="single" w:sz="4" w:space="0" w:color="000000"/>
              <w:left w:val="single" w:sz="4" w:space="0" w:color="000000"/>
            </w:tcBorders>
            <w:shd w:val="clear" w:color="auto" w:fill="auto"/>
            <w:tcMar>
              <w:top w:w="0" w:type="dxa"/>
              <w:bottom w:w="0" w:type="dxa"/>
            </w:tcMar>
            <w:vAlign w:val="center"/>
          </w:tcPr>
          <w:p w14:paraId="44E1C9F2" w14:textId="77777777" w:rsidR="0003054E" w:rsidRDefault="0003054E">
            <w:pPr>
              <w:pBdr>
                <w:top w:val="nil"/>
                <w:left w:val="nil"/>
                <w:bottom w:val="nil"/>
                <w:right w:val="nil"/>
                <w:between w:val="nil"/>
              </w:pBdr>
              <w:spacing w:line="276" w:lineRule="auto"/>
              <w:rPr>
                <w:rFonts w:ascii="Arial" w:eastAsia="Arial" w:hAnsi="Arial" w:cs="Arial"/>
                <w:color w:val="010000"/>
                <w:sz w:val="20"/>
                <w:szCs w:val="20"/>
              </w:rPr>
            </w:pPr>
          </w:p>
        </w:tc>
        <w:tc>
          <w:tcPr>
            <w:tcW w:w="1789" w:type="dxa"/>
            <w:tcBorders>
              <w:top w:val="single" w:sz="4" w:space="0" w:color="000000"/>
              <w:left w:val="single" w:sz="4" w:space="0" w:color="000000"/>
            </w:tcBorders>
            <w:shd w:val="clear" w:color="auto" w:fill="auto"/>
            <w:tcMar>
              <w:top w:w="0" w:type="dxa"/>
              <w:bottom w:w="0" w:type="dxa"/>
            </w:tcMar>
            <w:vAlign w:val="center"/>
          </w:tcPr>
          <w:p w14:paraId="250D1B69"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81" w:type="dxa"/>
            <w:tcBorders>
              <w:top w:val="single" w:sz="4" w:space="0" w:color="000000"/>
              <w:left w:val="single" w:sz="4" w:space="0" w:color="000000"/>
            </w:tcBorders>
            <w:shd w:val="clear" w:color="auto" w:fill="auto"/>
            <w:tcMar>
              <w:top w:w="0" w:type="dxa"/>
              <w:bottom w:w="0" w:type="dxa"/>
            </w:tcMar>
            <w:vAlign w:val="center"/>
          </w:tcPr>
          <w:p w14:paraId="02E16477"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67" w:type="dxa"/>
            <w:tcBorders>
              <w:top w:val="single" w:sz="4" w:space="0" w:color="000000"/>
              <w:left w:val="single" w:sz="4" w:space="0" w:color="000000"/>
            </w:tcBorders>
            <w:shd w:val="clear" w:color="auto" w:fill="auto"/>
            <w:tcMar>
              <w:top w:w="0" w:type="dxa"/>
              <w:bottom w:w="0" w:type="dxa"/>
            </w:tcMar>
            <w:vAlign w:val="center"/>
          </w:tcPr>
          <w:p w14:paraId="1BD7CA20"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 = (1) - (2)</w:t>
            </w:r>
          </w:p>
        </w:tc>
        <w:tc>
          <w:tcPr>
            <w:tcW w:w="11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71FD80"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 = (3)/(2)</w:t>
            </w:r>
          </w:p>
        </w:tc>
      </w:tr>
      <w:tr w:rsidR="0003054E" w14:paraId="1C06A6D6" w14:textId="77777777">
        <w:tc>
          <w:tcPr>
            <w:tcW w:w="25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85B926" w14:textId="6CB6ECED"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7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1CAA76"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335,767,697,360</w:t>
            </w:r>
          </w:p>
        </w:tc>
        <w:tc>
          <w:tcPr>
            <w:tcW w:w="168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C471E4"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133,171,215,398</w:t>
            </w:r>
          </w:p>
        </w:tc>
        <w:tc>
          <w:tcPr>
            <w:tcW w:w="17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522FF0"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202,596,481,962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05EA9F" w14:textId="77777777" w:rsidR="0003054E" w:rsidRDefault="00AE21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w:t>
            </w:r>
          </w:p>
        </w:tc>
      </w:tr>
    </w:tbl>
    <w:p w14:paraId="463B27C0" w14:textId="7F934E96" w:rsidR="0003054E" w:rsidRDefault="00AE2178" w:rsidP="005D50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Profit after tax </w:t>
      </w:r>
      <w:r w:rsidR="00CC6F9B">
        <w:rPr>
          <w:rFonts w:ascii="Arial" w:hAnsi="Arial"/>
          <w:color w:val="010000"/>
          <w:sz w:val="20"/>
        </w:rPr>
        <w:t xml:space="preserve">in the Consolidated Financial Statements </w:t>
      </w:r>
      <w:r>
        <w:rPr>
          <w:rFonts w:ascii="Arial" w:hAnsi="Arial"/>
          <w:color w:val="010000"/>
          <w:sz w:val="20"/>
        </w:rPr>
        <w:t>20</w:t>
      </w:r>
      <w:bookmarkStart w:id="1" w:name="_GoBack"/>
      <w:bookmarkEnd w:id="1"/>
      <w:r>
        <w:rPr>
          <w:rFonts w:ascii="Arial" w:hAnsi="Arial"/>
          <w:color w:val="010000"/>
          <w:sz w:val="20"/>
        </w:rPr>
        <w:t>23 increase</w:t>
      </w:r>
      <w:r w:rsidR="00CC6F9B">
        <w:rPr>
          <w:rFonts w:ascii="Arial" w:hAnsi="Arial"/>
          <w:color w:val="010000"/>
          <w:sz w:val="20"/>
        </w:rPr>
        <w:t xml:space="preserve">d by </w:t>
      </w:r>
      <w:r>
        <w:rPr>
          <w:rFonts w:ascii="Arial" w:hAnsi="Arial"/>
          <w:color w:val="010000"/>
          <w:sz w:val="20"/>
        </w:rPr>
        <w:t xml:space="preserve">152% compared to </w:t>
      </w:r>
      <w:r w:rsidR="00CC6F9B">
        <w:rPr>
          <w:rFonts w:ascii="Arial" w:hAnsi="Arial"/>
          <w:color w:val="010000"/>
          <w:sz w:val="20"/>
        </w:rPr>
        <w:t xml:space="preserve">that </w:t>
      </w:r>
      <w:r>
        <w:rPr>
          <w:rFonts w:ascii="Arial" w:hAnsi="Arial"/>
          <w:color w:val="010000"/>
          <w:sz w:val="20"/>
        </w:rPr>
        <w:t xml:space="preserve">2022, </w:t>
      </w:r>
      <w:r w:rsidR="00CC6F9B">
        <w:rPr>
          <w:rFonts w:ascii="Arial" w:hAnsi="Arial"/>
          <w:color w:val="010000"/>
          <w:sz w:val="20"/>
        </w:rPr>
        <w:t>mainly</w:t>
      </w:r>
      <w:r>
        <w:rPr>
          <w:rFonts w:ascii="Arial" w:hAnsi="Arial"/>
          <w:color w:val="010000"/>
          <w:sz w:val="20"/>
        </w:rPr>
        <w:t xml:space="preserve"> due to a sharp decrease in financial operating expenses and a substantial increase in profit</w:t>
      </w:r>
      <w:r w:rsidR="00CC6F9B">
        <w:rPr>
          <w:rFonts w:ascii="Arial" w:hAnsi="Arial"/>
          <w:color w:val="010000"/>
          <w:sz w:val="20"/>
        </w:rPr>
        <w:t>s</w:t>
      </w:r>
      <w:r>
        <w:rPr>
          <w:rFonts w:ascii="Arial" w:hAnsi="Arial"/>
          <w:color w:val="010000"/>
          <w:sz w:val="20"/>
        </w:rPr>
        <w:t xml:space="preserve"> from joint ventures</w:t>
      </w:r>
    </w:p>
    <w:p w14:paraId="6670B994" w14:textId="77777777" w:rsidR="0003054E" w:rsidRDefault="0003054E">
      <w:pPr>
        <w:tabs>
          <w:tab w:val="left" w:pos="432"/>
        </w:tabs>
        <w:spacing w:after="120" w:line="360" w:lineRule="auto"/>
        <w:rPr>
          <w:rFonts w:ascii="Arial" w:eastAsia="Arial" w:hAnsi="Arial" w:cs="Arial"/>
          <w:color w:val="010000"/>
          <w:sz w:val="20"/>
          <w:szCs w:val="20"/>
        </w:rPr>
      </w:pPr>
    </w:p>
    <w:sectPr w:rsidR="0003054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15D13"/>
    <w:multiLevelType w:val="multilevel"/>
    <w:tmpl w:val="E536F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4E"/>
    <w:rsid w:val="0003054E"/>
    <w:rsid w:val="005D50E5"/>
    <w:rsid w:val="0072271A"/>
    <w:rsid w:val="00AE2178"/>
    <w:rsid w:val="00CC6F9B"/>
    <w:rsid w:val="00FE2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3340"/>
  <w15:docId w15:val="{E7649E91-15C5-48A4-BF0B-046C17CC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F9B"/>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4"/>
      <w:szCs w:val="14"/>
      <w:u w:val="none"/>
      <w:shd w:val="clear" w:color="auto" w:fill="auto"/>
    </w:rPr>
  </w:style>
  <w:style w:type="paragraph" w:styleId="BodyText">
    <w:name w:val="Body Text"/>
    <w:basedOn w:val="Normal"/>
    <w:link w:val="BodyTextChar"/>
    <w:qFormat/>
    <w:pPr>
      <w:spacing w:line="360" w:lineRule="auto"/>
    </w:pPr>
    <w:rPr>
      <w:rFonts w:ascii="Times New Roman" w:eastAsia="Times New Roman" w:hAnsi="Times New Roman" w:cs="Times New Roman"/>
      <w:sz w:val="20"/>
      <w:szCs w:val="20"/>
    </w:rPr>
  </w:style>
  <w:style w:type="paragraph" w:customStyle="1" w:styleId="Other0">
    <w:name w:val="Other"/>
    <w:basedOn w:val="Normal"/>
    <w:link w:val="Other"/>
    <w:pPr>
      <w:spacing w:line="360"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pPr>
      <w:spacing w:line="360" w:lineRule="auto"/>
    </w:pPr>
    <w:rPr>
      <w:rFonts w:ascii="Times New Roman" w:eastAsia="Times New Roman" w:hAnsi="Times New Roman" w:cs="Times New Roman"/>
      <w:sz w:val="20"/>
      <w:szCs w:val="20"/>
    </w:rPr>
  </w:style>
  <w:style w:type="paragraph" w:customStyle="1" w:styleId="Bodytext40">
    <w:name w:val="Body text (4)"/>
    <w:basedOn w:val="Normal"/>
    <w:link w:val="Bodytext4"/>
    <w:pPr>
      <w:jc w:val="right"/>
    </w:pPr>
    <w:rPr>
      <w:rFonts w:ascii="Times New Roman" w:eastAsia="Times New Roman" w:hAnsi="Times New Roman" w:cs="Times New Roman"/>
      <w:b/>
      <w:bCs/>
      <w:sz w:val="28"/>
      <w:szCs w:val="28"/>
    </w:rPr>
  </w:style>
  <w:style w:type="paragraph" w:customStyle="1" w:styleId="Bodytext50">
    <w:name w:val="Body text (5)"/>
    <w:basedOn w:val="Normal"/>
    <w:link w:val="Bodytext5"/>
    <w:rPr>
      <w:rFonts w:ascii="Times New Roman" w:eastAsia="Times New Roman" w:hAnsi="Times New Roman" w:cs="Times New Roman"/>
      <w:sz w:val="18"/>
      <w:szCs w:val="18"/>
    </w:rPr>
  </w:style>
  <w:style w:type="paragraph" w:customStyle="1" w:styleId="Bodytext30">
    <w:name w:val="Body text (3)"/>
    <w:basedOn w:val="Normal"/>
    <w:link w:val="Bodytext3"/>
    <w:rPr>
      <w:rFonts w:ascii="Times New Roman" w:eastAsia="Times New Roman" w:hAnsi="Times New Roman" w:cs="Times New Roman"/>
      <w:b/>
      <w:bCs/>
      <w:sz w:val="9"/>
      <w:szCs w:val="9"/>
    </w:rPr>
  </w:style>
  <w:style w:type="paragraph" w:customStyle="1" w:styleId="Bodytext20">
    <w:name w:val="Body text (2)"/>
    <w:basedOn w:val="Normal"/>
    <w:link w:val="Bodytext2"/>
    <w:pPr>
      <w:spacing w:line="233" w:lineRule="auto"/>
    </w:pPr>
    <w:rPr>
      <w:rFonts w:ascii="Times New Roman" w:eastAsia="Times New Roman" w:hAnsi="Times New Roman" w:cs="Times New Roman"/>
      <w:b/>
      <w:bCs/>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fTo4kw3WgXoeczcQj//SYSEOMA==">CgMxLjAyCGguZ2pkZ3hzOAByITF6NWhfVklhbjhZUXBnaU1yVWFzcDFnYUxDZlNYdXliVw==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2024-04-03T06:10:00Z</dcterms:created>
  <dcterms:modified xsi:type="dcterms:W3CDTF">2024-04-04T03:52:00Z</dcterms:modified>
</cp:coreProperties>
</file>