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6696" w:rsidRDefault="00B65DD5" w:rsidP="00B65D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IRC: Board Resolution</w:t>
      </w:r>
    </w:p>
    <w:p w14:paraId="00000002" w14:textId="2853981C" w:rsidR="00C76696" w:rsidRDefault="00B65DD5" w:rsidP="00B65D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2, 2024, Industrial Rubber JSC announced Resolution No. 127/NQ-HDQT on materials</w:t>
      </w:r>
      <w:r>
        <w:rPr>
          <w:rFonts w:ascii="Arial" w:hAnsi="Arial"/>
          <w:color w:val="010000"/>
          <w:sz w:val="20"/>
        </w:rPr>
        <w:t xml:space="preserve"> submitted to the Annual 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3" w14:textId="427E8652" w:rsidR="00C76696" w:rsidRDefault="00B65DD5" w:rsidP="00B65D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The Board of Directors approves materials submitted to the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Annual 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4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on governance, production and business results in 2023 and plan for 2024 (expected) of the Board of Directors;</w:t>
      </w:r>
    </w:p>
    <w:p w14:paraId="00000005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</w:t>
      </w:r>
      <w:r>
        <w:rPr>
          <w:rFonts w:ascii="Arial" w:hAnsi="Arial"/>
          <w:color w:val="010000"/>
          <w:sz w:val="20"/>
        </w:rPr>
        <w:t>e Supervisory Board on examining the production and business activities in 2023;</w:t>
      </w:r>
    </w:p>
    <w:p w14:paraId="00000006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Financial Statements 2023;</w:t>
      </w:r>
    </w:p>
    <w:p w14:paraId="00000007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selection of an independent audit company to audit the Financial Statements 2024;</w:t>
      </w:r>
    </w:p>
    <w:p w14:paraId="00000008" w14:textId="62F0D54D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salaries and remunerations of the Board of Directors, Supervisory Board and</w:t>
      </w:r>
      <w:r>
        <w:rPr>
          <w:rFonts w:ascii="Arial" w:hAnsi="Arial"/>
          <w:color w:val="010000"/>
          <w:sz w:val="20"/>
        </w:rPr>
        <w:t xml:space="preserve"> Executive Board in 2023 and plan for 2024;</w:t>
      </w:r>
    </w:p>
    <w:p w14:paraId="00000009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the profit distribution and dividend payment in 2023 and plan for profit distribution and dividend payment in 2024;</w:t>
      </w:r>
    </w:p>
    <w:p w14:paraId="0000000A" w14:textId="77777777" w:rsidR="00C76696" w:rsidRDefault="00B65DD5" w:rsidP="00B65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contents under the autho</w:t>
      </w:r>
      <w:r>
        <w:rPr>
          <w:rFonts w:ascii="Arial" w:hAnsi="Arial"/>
          <w:color w:val="010000"/>
          <w:sz w:val="20"/>
        </w:rPr>
        <w:t>rity of the Meeting.</w:t>
      </w:r>
    </w:p>
    <w:p w14:paraId="0000000B" w14:textId="6F6FA641" w:rsidR="00C76696" w:rsidRDefault="00B65DD5" w:rsidP="00B65D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Board of Directors assigns the Managing Director</w:t>
      </w:r>
      <w:r>
        <w:rPr>
          <w:rFonts w:ascii="Arial" w:hAnsi="Arial"/>
          <w:color w:val="010000"/>
          <w:sz w:val="20"/>
        </w:rPr>
        <w:t xml:space="preserve"> of the Company to implement the information disclosure and related procedures under applicable laws</w:t>
      </w:r>
      <w:r>
        <w:rPr>
          <w:rFonts w:ascii="Arial" w:hAnsi="Arial"/>
          <w:color w:val="010000"/>
          <w:sz w:val="20"/>
        </w:rPr>
        <w:t>.</w:t>
      </w:r>
    </w:p>
    <w:p w14:paraId="0000000C" w14:textId="36DCFCF0" w:rsidR="00C76696" w:rsidRDefault="00B65DD5" w:rsidP="00B65D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 Members of the Board of Directors, Managing Director, Deputy Managing Director</w:t>
      </w:r>
      <w:r>
        <w:rPr>
          <w:rFonts w:ascii="Arial" w:hAnsi="Arial"/>
          <w:color w:val="010000"/>
          <w:sz w:val="20"/>
        </w:rPr>
        <w:t xml:space="preserve"> and relevant professional departments are responsible for implementing this Resolution.</w:t>
      </w:r>
    </w:p>
    <w:sectPr w:rsidR="00C7669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55AF"/>
    <w:multiLevelType w:val="multilevel"/>
    <w:tmpl w:val="BED21BE2"/>
    <w:lvl w:ilvl="0">
      <w:start w:val="1"/>
      <w:numFmt w:val="bullet"/>
      <w:lvlText w:val="+"/>
      <w:lvlJc w:val="left"/>
      <w:pPr>
        <w:ind w:left="77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6"/>
    <w:rsid w:val="00B65DD5"/>
    <w:rsid w:val="00C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7A8A"/>
  <w15:docId w15:val="{3A213319-3626-45F9-9846-8B713CEA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F1F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F1F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F1F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1E1F1F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E1F1F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18" w:lineRule="auto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pPr>
      <w:spacing w:line="180" w:lineRule="auto"/>
    </w:pPr>
    <w:rPr>
      <w:rFonts w:ascii="Arial" w:eastAsia="Arial" w:hAnsi="Arial" w:cs="Arial"/>
      <w:smallCaps/>
      <w:sz w:val="14"/>
      <w:szCs w:val="14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color w:val="1E1F1F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HXATP8zUDE6uR71yzrxWqGPdA==">CgMxLjAyCGguZ2pkZ3hzOAByITFvOVRSVjZyUW5zVWdKM1lyNkRTQmM2MW5LcmNGempraA==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2024-04-04T04:52:00Z</dcterms:created>
  <dcterms:modified xsi:type="dcterms:W3CDTF">2024-04-04T04:52:00Z</dcterms:modified>
</cp:coreProperties>
</file>