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828" w:rsidRDefault="002C1933" w:rsidP="00FD2BA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845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b/>
          <w:color w:val="010000"/>
          <w:sz w:val="20"/>
        </w:rPr>
        <w:t>LDW: Board Resolution</w:t>
      </w:r>
    </w:p>
    <w:p w:rsidR="00310828" w:rsidRDefault="002C1933" w:rsidP="00FD2BA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84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April 2, 2024, Lam Dong Water Supply </w:t>
      </w:r>
      <w:proofErr w:type="gramStart"/>
      <w:r>
        <w:rPr>
          <w:rFonts w:ascii="Arial" w:hAnsi="Arial"/>
          <w:color w:val="010000"/>
          <w:sz w:val="20"/>
        </w:rPr>
        <w:t>And</w:t>
      </w:r>
      <w:proofErr w:type="gramEnd"/>
      <w:r>
        <w:rPr>
          <w:rFonts w:ascii="Arial" w:hAnsi="Arial"/>
          <w:color w:val="010000"/>
          <w:sz w:val="20"/>
        </w:rPr>
        <w:t xml:space="preserve"> Sewerage Company Ltd. announced Resolution No. 04/2024/NQ-HDQT as follows:</w:t>
      </w:r>
    </w:p>
    <w:p w:rsidR="00310828" w:rsidRDefault="002C1933" w:rsidP="00FD2BA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1.</w:t>
      </w:r>
    </w:p>
    <w:p w:rsidR="00310828" w:rsidRDefault="002C1933" w:rsidP="00FD2B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Adjust and supplement the dossiers and documents used in the Annual General Meeting of Shareholders 2024 of LAWACO with the following details:</w:t>
      </w:r>
    </w:p>
    <w:p w:rsidR="00310828" w:rsidRDefault="002C1933" w:rsidP="00FD2BA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4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Appendix 5/1:</w:t>
      </w:r>
    </w:p>
    <w:p w:rsidR="00310828" w:rsidRDefault="002C1933" w:rsidP="00FD2B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8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Adjust the total planned revenue target for 2024 from VND 356,411 billion to VND 355,302 billion.</w:t>
      </w:r>
    </w:p>
    <w:p w:rsidR="00310828" w:rsidRDefault="002C1933" w:rsidP="00FD2B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8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Adjust the planned financial activity revenue target in 2024 from VND 43,264 billion to VND 42,155 billion.</w:t>
      </w:r>
    </w:p>
    <w:p w:rsidR="00310828" w:rsidRDefault="002C1933" w:rsidP="00FD2B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8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Adjust the target of total profit before tax from VND 80,341 billion to VND 85,722 billion.</w:t>
      </w:r>
    </w:p>
    <w:p w:rsidR="00310828" w:rsidRDefault="002C1933" w:rsidP="00FD2B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8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Adjust the profit before tax target for water business activities from VND 34,484 billion to VND 40,975 billion.</w:t>
      </w:r>
    </w:p>
    <w:p w:rsidR="00310828" w:rsidRDefault="002C1933" w:rsidP="00FD2BA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Proposal 05:</w:t>
      </w:r>
    </w:p>
    <w:p w:rsidR="00310828" w:rsidRDefault="002C1933" w:rsidP="00FD2B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8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Adjust and remove phrases: Production and business plan, expected dividend in 2024.</w:t>
      </w:r>
    </w:p>
    <w:p w:rsidR="00310828" w:rsidRDefault="002C1933" w:rsidP="00FD2B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Supplement the Vietnamese Dong unit in target number 4</w:t>
      </w:r>
    </w:p>
    <w:p w:rsidR="00310828" w:rsidRDefault="002C1933" w:rsidP="00FD2BA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Proposal 06:</w:t>
      </w:r>
    </w:p>
    <w:p w:rsidR="00310828" w:rsidRDefault="002C1933" w:rsidP="00FD2B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Adjust total revenue target from</w:t>
      </w:r>
      <w:r w:rsidR="00FD2BAC">
        <w:rPr>
          <w:rFonts w:ascii="Arial" w:hAnsi="Arial"/>
          <w:color w:val="010000"/>
          <w:sz w:val="20"/>
        </w:rPr>
        <w:t xml:space="preserve"> VND 356,411 billion to VND 355.</w:t>
      </w:r>
      <w:r>
        <w:rPr>
          <w:rFonts w:ascii="Arial" w:hAnsi="Arial"/>
          <w:color w:val="010000"/>
          <w:sz w:val="20"/>
        </w:rPr>
        <w:t>302 billion.</w:t>
      </w:r>
    </w:p>
    <w:p w:rsidR="00310828" w:rsidRDefault="002C1933" w:rsidP="00FD2B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8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Adjust the main production revenue target to revenue from production and b</w:t>
      </w:r>
      <w:r w:rsidR="00FD2BAC">
        <w:rPr>
          <w:rFonts w:ascii="Arial" w:hAnsi="Arial"/>
          <w:color w:val="010000"/>
          <w:sz w:val="20"/>
        </w:rPr>
        <w:t>usiness activities from VND 289.</w:t>
      </w:r>
      <w:r>
        <w:rPr>
          <w:rFonts w:ascii="Arial" w:hAnsi="Arial"/>
          <w:color w:val="010000"/>
          <w:sz w:val="20"/>
        </w:rPr>
        <w:t>955 b</w:t>
      </w:r>
      <w:r w:rsidR="00FD2BAC">
        <w:rPr>
          <w:rFonts w:ascii="Arial" w:hAnsi="Arial"/>
          <w:color w:val="010000"/>
          <w:sz w:val="20"/>
        </w:rPr>
        <w:t>illion to VND 311.</w:t>
      </w:r>
      <w:r>
        <w:rPr>
          <w:rFonts w:ascii="Arial" w:hAnsi="Arial"/>
          <w:color w:val="010000"/>
          <w:sz w:val="20"/>
        </w:rPr>
        <w:t>263 billion.</w:t>
      </w:r>
    </w:p>
    <w:p w:rsidR="00310828" w:rsidRDefault="002C1933" w:rsidP="00FD2B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Adjust the target of tota</w:t>
      </w:r>
      <w:r w:rsidR="00FD2BAC">
        <w:rPr>
          <w:rFonts w:ascii="Arial" w:hAnsi="Arial"/>
          <w:color w:val="010000"/>
          <w:sz w:val="20"/>
        </w:rPr>
        <w:t>l profit before tax from VND 80.341 billion to VND 85.</w:t>
      </w:r>
      <w:r>
        <w:rPr>
          <w:rFonts w:ascii="Arial" w:hAnsi="Arial"/>
          <w:color w:val="010000"/>
          <w:sz w:val="20"/>
        </w:rPr>
        <w:t>722 billion.</w:t>
      </w:r>
    </w:p>
    <w:p w:rsidR="00310828" w:rsidRDefault="002C1933" w:rsidP="00FD2B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Adjust the dividend target in 2024 from 4.31% to 4.35%.</w:t>
      </w:r>
    </w:p>
    <w:p w:rsidR="00310828" w:rsidRDefault="002C1933" w:rsidP="00FD2BA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Proposal 08:</w:t>
      </w:r>
    </w:p>
    <w:p w:rsidR="00310828" w:rsidRDefault="002C1933" w:rsidP="00FD2B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8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310828">
          <w:headerReference w:type="default" r:id="rId8"/>
          <w:pgSz w:w="11907" w:h="16839"/>
          <w:pgMar w:top="1440" w:right="1440" w:bottom="1440" w:left="1440" w:header="0" w:footer="3" w:gutter="0"/>
          <w:pgNumType w:start="1"/>
          <w:cols w:space="720"/>
        </w:sectPr>
      </w:pPr>
      <w:r>
        <w:rPr>
          <w:rFonts w:ascii="Arial" w:hAnsi="Arial"/>
          <w:color w:val="010000"/>
          <w:sz w:val="20"/>
        </w:rPr>
        <w:t>Adjust and remove phrases: Expected profit distribution and dividend payment in 2024.</w:t>
      </w:r>
    </w:p>
    <w:p w:rsidR="00310828" w:rsidRDefault="00310828" w:rsidP="00FD2B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7"/>
        <w:gridCol w:w="1827"/>
        <w:gridCol w:w="1973"/>
      </w:tblGrid>
      <w:tr w:rsidR="00310828">
        <w:tc>
          <w:tcPr>
            <w:tcW w:w="52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0828" w:rsidRDefault="002C1933" w:rsidP="00FD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Targets</w:t>
            </w:r>
          </w:p>
        </w:tc>
        <w:tc>
          <w:tcPr>
            <w:tcW w:w="18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0828" w:rsidRDefault="002C1933" w:rsidP="00FD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 distributed profit after tax</w:t>
            </w:r>
          </w:p>
        </w:tc>
        <w:tc>
          <w:tcPr>
            <w:tcW w:w="19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0828" w:rsidRDefault="002C1933" w:rsidP="00FD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Amount (VND)</w:t>
            </w:r>
          </w:p>
        </w:tc>
      </w:tr>
      <w:tr w:rsidR="00310828">
        <w:tc>
          <w:tcPr>
            <w:tcW w:w="52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0828" w:rsidRDefault="002C1933" w:rsidP="00FD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 Distributed profit after tax in 2023</w:t>
            </w:r>
          </w:p>
        </w:tc>
        <w:tc>
          <w:tcPr>
            <w:tcW w:w="18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0828" w:rsidRDefault="002C1933" w:rsidP="00FD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100.0%</w:t>
            </w:r>
          </w:p>
        </w:tc>
        <w:tc>
          <w:tcPr>
            <w:tcW w:w="19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0828" w:rsidRDefault="002C1933" w:rsidP="00FD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79,056,153,431</w:t>
            </w:r>
          </w:p>
        </w:tc>
      </w:tr>
      <w:tr w:rsidR="00310828">
        <w:tc>
          <w:tcPr>
            <w:tcW w:w="52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0828" w:rsidRDefault="002C1933" w:rsidP="00FD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 Appropriation for investment and development funds</w:t>
            </w:r>
          </w:p>
        </w:tc>
        <w:tc>
          <w:tcPr>
            <w:tcW w:w="18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0828" w:rsidRDefault="002C1933" w:rsidP="00FD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20.0%</w:t>
            </w:r>
          </w:p>
        </w:tc>
        <w:tc>
          <w:tcPr>
            <w:tcW w:w="19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0828" w:rsidRDefault="002C1933" w:rsidP="00FD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15,811,230,686</w:t>
            </w:r>
          </w:p>
        </w:tc>
      </w:tr>
      <w:tr w:rsidR="00310828">
        <w:tc>
          <w:tcPr>
            <w:tcW w:w="52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0828" w:rsidRDefault="002C1933" w:rsidP="00FD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 Appropriation for bonus and welfare funds</w:t>
            </w:r>
          </w:p>
        </w:tc>
        <w:tc>
          <w:tcPr>
            <w:tcW w:w="18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0828" w:rsidRDefault="002C1933" w:rsidP="00FD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26.22%</w:t>
            </w:r>
          </w:p>
        </w:tc>
        <w:tc>
          <w:tcPr>
            <w:tcW w:w="19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0828" w:rsidRDefault="002C1933" w:rsidP="00FD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20,730,392,751</w:t>
            </w:r>
          </w:p>
        </w:tc>
      </w:tr>
      <w:tr w:rsidR="00310828">
        <w:tc>
          <w:tcPr>
            <w:tcW w:w="52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0828" w:rsidRDefault="002C1933" w:rsidP="00FD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 Remuneration of the Board of Directors and the Supervisory Board</w:t>
            </w:r>
          </w:p>
        </w:tc>
        <w:tc>
          <w:tcPr>
            <w:tcW w:w="18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0828" w:rsidRDefault="002C1933" w:rsidP="00FD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1.74%</w:t>
            </w:r>
          </w:p>
        </w:tc>
        <w:tc>
          <w:tcPr>
            <w:tcW w:w="19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0828" w:rsidRDefault="002C1933" w:rsidP="00FD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1,377,600,000</w:t>
            </w:r>
          </w:p>
        </w:tc>
      </w:tr>
      <w:tr w:rsidR="00310828">
        <w:tc>
          <w:tcPr>
            <w:tcW w:w="52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0828" w:rsidRDefault="002C1933" w:rsidP="00FD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- Bonus of the Board of Directors, the Supervisory Board and the Executive Board</w:t>
            </w:r>
          </w:p>
        </w:tc>
        <w:tc>
          <w:tcPr>
            <w:tcW w:w="18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0828" w:rsidRDefault="002C1933" w:rsidP="00FD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1.20%</w:t>
            </w:r>
          </w:p>
        </w:tc>
        <w:tc>
          <w:tcPr>
            <w:tcW w:w="19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0828" w:rsidRDefault="002C1933" w:rsidP="00FD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948,929,995</w:t>
            </w:r>
          </w:p>
        </w:tc>
      </w:tr>
      <w:tr w:rsidR="00310828">
        <w:tc>
          <w:tcPr>
            <w:tcW w:w="52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0828" w:rsidRDefault="002C1933" w:rsidP="00FD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 Remaining profit to pay dividends (5.1% charter capital)</w:t>
            </w:r>
          </w:p>
        </w:tc>
        <w:tc>
          <w:tcPr>
            <w:tcW w:w="18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0828" w:rsidRDefault="002C1933" w:rsidP="00FD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50.84%</w:t>
            </w:r>
          </w:p>
        </w:tc>
        <w:tc>
          <w:tcPr>
            <w:tcW w:w="19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0828" w:rsidRDefault="002C1933" w:rsidP="00FD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40,188,000,000</w:t>
            </w:r>
          </w:p>
        </w:tc>
      </w:tr>
    </w:tbl>
    <w:p w:rsidR="00310828" w:rsidRDefault="002C1933" w:rsidP="00FD2BA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Draft Report of the Board of Directors in 2024: </w:t>
      </w:r>
      <w:r>
        <w:rPr>
          <w:rFonts w:ascii="Arial" w:hAnsi="Arial"/>
          <w:color w:val="010000"/>
          <w:sz w:val="20"/>
        </w:rPr>
        <w:t>Adjust Section B of the Board of Directors' operating orientation in 2024:</w:t>
      </w:r>
    </w:p>
    <w:p w:rsidR="00310828" w:rsidRDefault="002C1933" w:rsidP="00FD2B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Target 1: Total planned revenue from VND 356,411 billion to VND 355,302 billion.</w:t>
      </w:r>
    </w:p>
    <w:p w:rsidR="00310828" w:rsidRDefault="002C1933" w:rsidP="00FD2B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Target 4: Tota</w:t>
      </w:r>
      <w:r w:rsidR="00FD2BAC">
        <w:rPr>
          <w:rFonts w:ascii="Arial" w:hAnsi="Arial"/>
          <w:color w:val="010000"/>
          <w:sz w:val="20"/>
        </w:rPr>
        <w:t>l profit before tax from VND 80.341 billion to VND 85.</w:t>
      </w:r>
      <w:r>
        <w:rPr>
          <w:rFonts w:ascii="Arial" w:hAnsi="Arial"/>
          <w:color w:val="010000"/>
          <w:sz w:val="20"/>
        </w:rPr>
        <w:t>722 billion.</w:t>
      </w:r>
    </w:p>
    <w:p w:rsidR="00310828" w:rsidRDefault="002C1933" w:rsidP="00FD2B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Agree on the set of dossiers used in the Annual General Meeting of Shareholders 2024 of LAWACO as follows:</w:t>
      </w:r>
    </w:p>
    <w:p w:rsidR="00310828" w:rsidRDefault="002C1933" w:rsidP="00FD2B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10 Proposals;</w:t>
      </w:r>
    </w:p>
    <w:p w:rsidR="00310828" w:rsidRDefault="002C1933" w:rsidP="00FD2B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05 Reports;</w:t>
      </w:r>
    </w:p>
    <w:p w:rsidR="00310828" w:rsidRDefault="002C1933" w:rsidP="00FD2B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Draft General Mandate;</w:t>
      </w:r>
    </w:p>
    <w:p w:rsidR="00310828" w:rsidRDefault="002C1933" w:rsidP="00FD2B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Meeting agenda;</w:t>
      </w:r>
    </w:p>
    <w:p w:rsidR="00310828" w:rsidRDefault="002C1933" w:rsidP="00FD2B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Voting votes on issues;</w:t>
      </w:r>
    </w:p>
    <w:p w:rsidR="00310828" w:rsidRDefault="002C1933" w:rsidP="00FD2B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Appendices.</w:t>
      </w:r>
    </w:p>
    <w:p w:rsidR="00310828" w:rsidRDefault="002C1933" w:rsidP="00FD2B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 addition to the already es</w:t>
      </w:r>
      <w:r w:rsidR="00FD2BAC">
        <w:rPr>
          <w:rFonts w:ascii="Arial" w:hAnsi="Arial"/>
          <w:color w:val="010000"/>
          <w:sz w:val="20"/>
        </w:rPr>
        <w:t>tablished the Meeting Organizer</w:t>
      </w:r>
      <w:r>
        <w:rPr>
          <w:rFonts w:ascii="Arial" w:hAnsi="Arial"/>
          <w:color w:val="010000"/>
          <w:sz w:val="20"/>
        </w:rPr>
        <w:t xml:space="preserve"> Committee, it is proposed to establish additional committees to serve the Annual General Meeting </w:t>
      </w:r>
      <w:r>
        <w:rPr>
          <w:rFonts w:ascii="Arial" w:hAnsi="Arial"/>
          <w:color w:val="010000"/>
          <w:sz w:val="20"/>
        </w:rPr>
        <w:t>2024 of LAWACO, including: Shareholder's Eligibility Verification Committee, Voti</w:t>
      </w:r>
      <w:r>
        <w:rPr>
          <w:rFonts w:ascii="Arial" w:hAnsi="Arial"/>
          <w:color w:val="010000"/>
          <w:sz w:val="20"/>
        </w:rPr>
        <w:t>ng Counting Committee, and Arts - Celebration Committee.</w:t>
      </w:r>
    </w:p>
    <w:p w:rsidR="00310828" w:rsidRDefault="00FD2BAC" w:rsidP="00FD2B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Organizer</w:t>
      </w:r>
      <w:r w:rsidR="002C1933">
        <w:rPr>
          <w:rFonts w:ascii="Arial" w:hAnsi="Arial"/>
          <w:color w:val="010000"/>
          <w:sz w:val="20"/>
        </w:rPr>
        <w:t xml:space="preserve"> Committee of the Annual General Meeting of Shareholders 2024 of LAWACO continues to take the next steps in accordance with the promulgated Plan.</w:t>
      </w:r>
    </w:p>
    <w:p w:rsidR="00310828" w:rsidRDefault="002C1933" w:rsidP="00FD2BA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2. </w:t>
      </w:r>
      <w:r>
        <w:rPr>
          <w:rFonts w:ascii="Arial" w:hAnsi="Arial"/>
          <w:color w:val="010000"/>
          <w:sz w:val="20"/>
        </w:rPr>
        <w:t xml:space="preserve">This </w:t>
      </w:r>
      <w:r w:rsidR="00FD2BAC">
        <w:rPr>
          <w:rFonts w:ascii="Arial" w:hAnsi="Arial"/>
          <w:color w:val="010000"/>
          <w:sz w:val="20"/>
        </w:rPr>
        <w:t xml:space="preserve">Board </w:t>
      </w:r>
      <w:r>
        <w:rPr>
          <w:rFonts w:ascii="Arial" w:hAnsi="Arial"/>
          <w:color w:val="010000"/>
          <w:sz w:val="20"/>
        </w:rPr>
        <w:t>Resolution takes effect from the date of its signing.</w:t>
      </w:r>
    </w:p>
    <w:p w:rsidR="00310828" w:rsidRDefault="002C1933" w:rsidP="00FD2BA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3. Memb</w:t>
      </w:r>
      <w:r w:rsidR="00FD2BAC">
        <w:rPr>
          <w:rFonts w:ascii="Arial" w:hAnsi="Arial"/>
          <w:color w:val="010000"/>
          <w:sz w:val="20"/>
        </w:rPr>
        <w:t>ers of the Board of Directors, Supervisory Board and</w:t>
      </w:r>
      <w:r>
        <w:rPr>
          <w:rFonts w:ascii="Arial" w:hAnsi="Arial"/>
          <w:color w:val="010000"/>
          <w:sz w:val="20"/>
        </w:rPr>
        <w:t xml:space="preserve"> Executive Board, functional departments and </w:t>
      </w:r>
      <w:r w:rsidR="00FD2BAC">
        <w:rPr>
          <w:rFonts w:ascii="Arial" w:hAnsi="Arial"/>
          <w:color w:val="010000"/>
          <w:sz w:val="20"/>
        </w:rPr>
        <w:t>related</w:t>
      </w:r>
      <w:bookmarkStart w:id="1" w:name="_GoBack"/>
      <w:bookmarkEnd w:id="1"/>
      <w:r>
        <w:rPr>
          <w:rFonts w:ascii="Arial" w:hAnsi="Arial"/>
          <w:color w:val="010000"/>
          <w:sz w:val="20"/>
        </w:rPr>
        <w:t xml:space="preserve"> units are responsible for implementing this Resolution as per the p</w:t>
      </w:r>
      <w:r>
        <w:rPr>
          <w:rFonts w:ascii="Arial" w:hAnsi="Arial"/>
          <w:color w:val="010000"/>
          <w:sz w:val="20"/>
        </w:rPr>
        <w:t xml:space="preserve">olicies of the Board of Directors </w:t>
      </w:r>
      <w:r w:rsidR="00FD2BAC">
        <w:rPr>
          <w:rFonts w:ascii="Arial" w:hAnsi="Arial"/>
          <w:color w:val="010000"/>
          <w:sz w:val="20"/>
        </w:rPr>
        <w:t>under applicable laws</w:t>
      </w:r>
      <w:r>
        <w:rPr>
          <w:rFonts w:ascii="Arial" w:hAnsi="Arial"/>
          <w:color w:val="010000"/>
          <w:sz w:val="20"/>
        </w:rPr>
        <w:t xml:space="preserve"> and the Charter of Lam Dong Water Supply </w:t>
      </w:r>
      <w:proofErr w:type="gramStart"/>
      <w:r>
        <w:rPr>
          <w:rFonts w:ascii="Arial" w:hAnsi="Arial"/>
          <w:color w:val="010000"/>
          <w:sz w:val="20"/>
        </w:rPr>
        <w:t>And</w:t>
      </w:r>
      <w:proofErr w:type="gramEnd"/>
      <w:r>
        <w:rPr>
          <w:rFonts w:ascii="Arial" w:hAnsi="Arial"/>
          <w:color w:val="010000"/>
          <w:sz w:val="20"/>
        </w:rPr>
        <w:t xml:space="preserve"> Sewerage Company Ltd.</w:t>
      </w:r>
    </w:p>
    <w:sectPr w:rsidR="00310828">
      <w:type w:val="continuous"/>
      <w:pgSz w:w="11907" w:h="16839"/>
      <w:pgMar w:top="1440" w:right="1440" w:bottom="1440" w:left="1440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933" w:rsidRDefault="002C1933">
      <w:r>
        <w:separator/>
      </w:r>
    </w:p>
  </w:endnote>
  <w:endnote w:type="continuationSeparator" w:id="0">
    <w:p w:rsidR="002C1933" w:rsidRDefault="002C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933" w:rsidRDefault="002C1933">
      <w:r>
        <w:separator/>
      </w:r>
    </w:p>
  </w:footnote>
  <w:footnote w:type="continuationSeparator" w:id="0">
    <w:p w:rsidR="002C1933" w:rsidRDefault="002C1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828" w:rsidRDefault="0031082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7AEA"/>
    <w:multiLevelType w:val="multilevel"/>
    <w:tmpl w:val="867CAF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C94738"/>
    <w:multiLevelType w:val="multilevel"/>
    <w:tmpl w:val="E056F92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54156B8"/>
    <w:multiLevelType w:val="multilevel"/>
    <w:tmpl w:val="34E0D6D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28"/>
    <w:rsid w:val="002C1933"/>
    <w:rsid w:val="00310828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B5F21"/>
  <w15:docId w15:val="{124AC844-E6CF-4DA4-843C-4C0FEB56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4"/>
      <w:szCs w:val="14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B23F54"/>
      <w:sz w:val="18"/>
      <w:szCs w:val="1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color w:val="792C3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226" w:lineRule="auto"/>
    </w:pPr>
    <w:rPr>
      <w:rFonts w:ascii="Times New Roman" w:eastAsia="Times New Roman" w:hAnsi="Times New Roman" w:cs="Times New Roman"/>
      <w:color w:val="FF0000"/>
      <w:sz w:val="14"/>
      <w:szCs w:val="14"/>
    </w:rPr>
  </w:style>
  <w:style w:type="paragraph" w:customStyle="1" w:styleId="Tablecaption0">
    <w:name w:val="Table caption"/>
    <w:basedOn w:val="Normal"/>
    <w:link w:val="Tablecaption"/>
    <w:pPr>
      <w:ind w:firstLine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pPr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Normal"/>
    <w:link w:val="Bodytext5"/>
    <w:pPr>
      <w:ind w:left="5300"/>
    </w:pPr>
    <w:rPr>
      <w:rFonts w:ascii="Arial" w:eastAsia="Arial" w:hAnsi="Arial" w:cs="Arial"/>
      <w:color w:val="B23F54"/>
      <w:sz w:val="18"/>
      <w:szCs w:val="18"/>
    </w:rPr>
  </w:style>
  <w:style w:type="paragraph" w:customStyle="1" w:styleId="Heading11">
    <w:name w:val="Heading #1"/>
    <w:basedOn w:val="Normal"/>
    <w:link w:val="Heading10"/>
    <w:pPr>
      <w:ind w:left="5300"/>
      <w:outlineLvl w:val="0"/>
    </w:pPr>
    <w:rPr>
      <w:rFonts w:ascii="Arial" w:eastAsia="Arial" w:hAnsi="Arial" w:cs="Arial"/>
      <w:color w:val="792C37"/>
    </w:rPr>
  </w:style>
  <w:style w:type="paragraph" w:customStyle="1" w:styleId="Bodytext40">
    <w:name w:val="Body text (4)"/>
    <w:basedOn w:val="Normal"/>
    <w:link w:val="Bodytext4"/>
    <w:pPr>
      <w:spacing w:line="300" w:lineRule="auto"/>
      <w:jc w:val="center"/>
    </w:pPr>
    <w:rPr>
      <w:rFonts w:ascii="Arial" w:eastAsia="Arial" w:hAnsi="Arial" w:cs="Arial"/>
      <w:b/>
      <w:bCs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VjJqQ9IB6Mk4yTnKa73Aq9s9Eg==">CgMxLjAyCGguZ2pkZ3hzOAByITF5bkNLZlpacGZSR3ctTUowZVNyMFJoTWNLcWlNazhUWg==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2024-04-04T04:55:00Z</dcterms:created>
  <dcterms:modified xsi:type="dcterms:W3CDTF">2024-04-04T04:55:00Z</dcterms:modified>
</cp:coreProperties>
</file>