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1A" w:rsidRDefault="00634F9D" w:rsidP="0063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LMI: Explanation on</w:t>
      </w:r>
      <w:r w:rsidR="0010325D">
        <w:rPr>
          <w:rFonts w:ascii="Arial" w:hAnsi="Arial"/>
          <w:b/>
          <w:color w:val="010000"/>
          <w:sz w:val="20"/>
        </w:rPr>
        <w:t xml:space="preserve"> Separate Financial Statements</w:t>
      </w:r>
      <w:bookmarkStart w:id="0" w:name="_GoBack"/>
      <w:bookmarkEnd w:id="0"/>
      <w:r w:rsidR="0010325D">
        <w:rPr>
          <w:rFonts w:ascii="Arial" w:hAnsi="Arial"/>
          <w:b/>
          <w:color w:val="010000"/>
          <w:sz w:val="20"/>
        </w:rPr>
        <w:t xml:space="preserve"> 2023</w:t>
      </w:r>
    </w:p>
    <w:p w:rsidR="00B3121A" w:rsidRDefault="0010325D" w:rsidP="0063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30, 2024, IDICO Machinery Erection Construction Investment Joint Stock Company announced Official Dispatch No. 175/CT-TCKT on explaining changes in profit after tax compared to that of the same period last year as follows: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2202"/>
        <w:gridCol w:w="1638"/>
        <w:gridCol w:w="1638"/>
        <w:gridCol w:w="1638"/>
        <w:gridCol w:w="1319"/>
      </w:tblGrid>
      <w:tr w:rsidR="00B3121A">
        <w:tc>
          <w:tcPr>
            <w:tcW w:w="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Figures in t</w:t>
            </w:r>
            <w:r>
              <w:rPr>
                <w:rFonts w:ascii="Arial" w:hAnsi="Arial"/>
                <w:color w:val="010000"/>
                <w:sz w:val="20"/>
              </w:rPr>
              <w:t>he Separate Financial Statements 2022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Figures in the Separate Financial Statements 2023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 (VND)</w:t>
            </w:r>
          </w:p>
        </w:tc>
        <w:tc>
          <w:tcPr>
            <w:tcW w:w="1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Increase/decrease (%)</w:t>
            </w:r>
          </w:p>
        </w:tc>
      </w:tr>
      <w:tr w:rsidR="00B3121A">
        <w:tc>
          <w:tcPr>
            <w:tcW w:w="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3,482,548,490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5,450,836,021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1,968,287,531</w:t>
            </w:r>
          </w:p>
        </w:tc>
        <w:tc>
          <w:tcPr>
            <w:tcW w:w="1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21A" w:rsidRDefault="0010325D" w:rsidP="00634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56.5</w:t>
            </w:r>
          </w:p>
        </w:tc>
      </w:tr>
    </w:tbl>
    <w:p w:rsidR="00B3121A" w:rsidRDefault="0010325D" w:rsidP="0063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*Causes of increase:</w:t>
      </w:r>
    </w:p>
    <w:p w:rsidR="00B3121A" w:rsidRDefault="0010325D" w:rsidP="0063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Revenue from sales and service provision in 2023 increases, and in 2023 the Company </w:t>
      </w:r>
      <w:r w:rsidR="00634F9D">
        <w:rPr>
          <w:rFonts w:ascii="Arial" w:hAnsi="Arial"/>
          <w:color w:val="010000"/>
          <w:sz w:val="20"/>
        </w:rPr>
        <w:t>gained</w:t>
      </w:r>
      <w:r>
        <w:rPr>
          <w:rFonts w:ascii="Arial" w:hAnsi="Arial"/>
          <w:color w:val="010000"/>
          <w:sz w:val="20"/>
        </w:rPr>
        <w:t xml:space="preserve"> access to better prices for input materials.</w:t>
      </w:r>
    </w:p>
    <w:p w:rsidR="00B3121A" w:rsidRDefault="00B3121A" w:rsidP="0063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3121A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A"/>
    <w:rsid w:val="0010325D"/>
    <w:rsid w:val="00634F9D"/>
    <w:rsid w:val="00B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F8D6"/>
  <w15:docId w15:val="{40A045F0-5FA0-4EEC-9F8F-DA9037F7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76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firstLine="4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5Ni1wLiUuaV4dZI75bkmIvOvdw==">CgMxLjA4AHIhMUhWZDVrNWU3SWhBVUtfYjlRWXQ1RjhPZTBpSmpxdjlD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2024-04-04T05:00:00Z</dcterms:created>
  <dcterms:modified xsi:type="dcterms:W3CDTF">2024-04-04T05:00:00Z</dcterms:modified>
</cp:coreProperties>
</file>