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8CF" w:rsidRDefault="00704A27" w:rsidP="00704A2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LTG: Explanation on</w:t>
      </w:r>
      <w:r>
        <w:rPr>
          <w:rFonts w:ascii="Arial" w:hAnsi="Arial"/>
          <w:b/>
          <w:color w:val="010000"/>
          <w:sz w:val="20"/>
        </w:rPr>
        <w:t xml:space="preserve"> Financial Statements for fiscal year 2023</w:t>
      </w:r>
    </w:p>
    <w:p w:rsidR="001B08CF" w:rsidRDefault="00704A27" w:rsidP="00704A2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March 30, 2024, Loc </w:t>
      </w:r>
      <w:proofErr w:type="spellStart"/>
      <w:r>
        <w:rPr>
          <w:rFonts w:ascii="Arial" w:hAnsi="Arial"/>
          <w:color w:val="010000"/>
          <w:sz w:val="20"/>
        </w:rPr>
        <w:t>Troi</w:t>
      </w:r>
      <w:proofErr w:type="spellEnd"/>
      <w:r>
        <w:rPr>
          <w:rFonts w:ascii="Arial" w:hAnsi="Arial"/>
          <w:color w:val="010000"/>
          <w:sz w:val="20"/>
        </w:rPr>
        <w:t xml:space="preserve"> Group Joint Stock Company announced Official Dispatch No. 132/CV-TDLT on explaining the fluctuations of the Financial Statements after audit as follows:</w:t>
      </w:r>
    </w:p>
    <w:p w:rsidR="001B08CF" w:rsidRDefault="00704A27" w:rsidP="00704A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Explanation of fluctuations in the Separate Income Statement:</w:t>
      </w:r>
    </w:p>
    <w:tbl>
      <w:tblPr>
        <w:tblStyle w:val="a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2"/>
        <w:gridCol w:w="3203"/>
        <w:gridCol w:w="1781"/>
        <w:gridCol w:w="1652"/>
        <w:gridCol w:w="1721"/>
      </w:tblGrid>
      <w:tr w:rsidR="001B08CF" w:rsidTr="00704A27">
        <w:tc>
          <w:tcPr>
            <w:tcW w:w="6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Code</w:t>
            </w:r>
          </w:p>
        </w:tc>
        <w:tc>
          <w:tcPr>
            <w:tcW w:w="32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</w:t>
            </w:r>
          </w:p>
        </w:tc>
        <w:tc>
          <w:tcPr>
            <w:tcW w:w="17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Figure before audit</w:t>
            </w:r>
          </w:p>
        </w:tc>
        <w:tc>
          <w:tcPr>
            <w:tcW w:w="16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Figure after audit</w:t>
            </w:r>
          </w:p>
        </w:tc>
        <w:tc>
          <w:tcPr>
            <w:tcW w:w="17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Difference</w:t>
            </w:r>
          </w:p>
        </w:tc>
      </w:tr>
      <w:tr w:rsidR="001B08CF" w:rsidTr="00704A27">
        <w:tc>
          <w:tcPr>
            <w:tcW w:w="6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25</w:t>
            </w:r>
          </w:p>
        </w:tc>
        <w:tc>
          <w:tcPr>
            <w:tcW w:w="32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Selling expense</w:t>
            </w:r>
          </w:p>
        </w:tc>
        <w:tc>
          <w:tcPr>
            <w:tcW w:w="17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730,634,031,115</w:t>
            </w:r>
          </w:p>
        </w:tc>
        <w:tc>
          <w:tcPr>
            <w:tcW w:w="16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741,911,358,642</w:t>
            </w:r>
          </w:p>
        </w:tc>
        <w:tc>
          <w:tcPr>
            <w:tcW w:w="17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11,277,327,527</w:t>
            </w:r>
          </w:p>
        </w:tc>
      </w:tr>
      <w:tr w:rsidR="001B08CF" w:rsidTr="00704A27">
        <w:tc>
          <w:tcPr>
            <w:tcW w:w="6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26</w:t>
            </w:r>
          </w:p>
        </w:tc>
        <w:tc>
          <w:tcPr>
            <w:tcW w:w="32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General and administrative expense</w:t>
            </w:r>
          </w:p>
        </w:tc>
        <w:tc>
          <w:tcPr>
            <w:tcW w:w="17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520,610,266,126</w:t>
            </w:r>
          </w:p>
        </w:tc>
        <w:tc>
          <w:tcPr>
            <w:tcW w:w="16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443,649,664,675</w:t>
            </w:r>
          </w:p>
        </w:tc>
        <w:tc>
          <w:tcPr>
            <w:tcW w:w="17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(76,960,601,451)</w:t>
            </w:r>
          </w:p>
        </w:tc>
      </w:tr>
      <w:tr w:rsidR="001B08CF" w:rsidTr="00704A27">
        <w:tc>
          <w:tcPr>
            <w:tcW w:w="6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30</w:t>
            </w:r>
          </w:p>
        </w:tc>
        <w:tc>
          <w:tcPr>
            <w:tcW w:w="32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Net profit from business activities</w:t>
            </w:r>
          </w:p>
        </w:tc>
        <w:tc>
          <w:tcPr>
            <w:tcW w:w="17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181,537,419,790</w:t>
            </w:r>
          </w:p>
        </w:tc>
        <w:tc>
          <w:tcPr>
            <w:tcW w:w="16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247,084,354,514</w:t>
            </w:r>
          </w:p>
        </w:tc>
        <w:tc>
          <w:tcPr>
            <w:tcW w:w="17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65,546,934,724</w:t>
            </w:r>
          </w:p>
        </w:tc>
      </w:tr>
      <w:tr w:rsidR="001B08CF" w:rsidTr="00704A27">
        <w:tc>
          <w:tcPr>
            <w:tcW w:w="6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31</w:t>
            </w:r>
          </w:p>
        </w:tc>
        <w:tc>
          <w:tcPr>
            <w:tcW w:w="32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Other incomes</w:t>
            </w:r>
          </w:p>
        </w:tc>
        <w:tc>
          <w:tcPr>
            <w:tcW w:w="17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28,024,670,360</w:t>
            </w:r>
          </w:p>
        </w:tc>
        <w:tc>
          <w:tcPr>
            <w:tcW w:w="16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30,556,728,504</w:t>
            </w:r>
          </w:p>
        </w:tc>
        <w:tc>
          <w:tcPr>
            <w:tcW w:w="17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2,532,058,144</w:t>
            </w:r>
          </w:p>
        </w:tc>
      </w:tr>
      <w:tr w:rsidR="001B08CF" w:rsidTr="00704A27">
        <w:tc>
          <w:tcPr>
            <w:tcW w:w="6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32</w:t>
            </w:r>
          </w:p>
        </w:tc>
        <w:tc>
          <w:tcPr>
            <w:tcW w:w="32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Other expenses</w:t>
            </w:r>
          </w:p>
        </w:tc>
        <w:tc>
          <w:tcPr>
            <w:tcW w:w="17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13,592,344,535</w:t>
            </w:r>
          </w:p>
        </w:tc>
        <w:tc>
          <w:tcPr>
            <w:tcW w:w="16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1,551,160,597</w:t>
            </w:r>
          </w:p>
        </w:tc>
        <w:tc>
          <w:tcPr>
            <w:tcW w:w="17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(12,041,183,938)</w:t>
            </w:r>
          </w:p>
        </w:tc>
      </w:tr>
      <w:tr w:rsidR="001B08CF" w:rsidTr="00704A27">
        <w:tc>
          <w:tcPr>
            <w:tcW w:w="6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50</w:t>
            </w:r>
          </w:p>
        </w:tc>
        <w:tc>
          <w:tcPr>
            <w:tcW w:w="32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profit before tax</w:t>
            </w:r>
          </w:p>
        </w:tc>
        <w:tc>
          <w:tcPr>
            <w:tcW w:w="17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195,969,745,615</w:t>
            </w:r>
          </w:p>
        </w:tc>
        <w:tc>
          <w:tcPr>
            <w:tcW w:w="16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276,089,922,421</w:t>
            </w:r>
          </w:p>
        </w:tc>
        <w:tc>
          <w:tcPr>
            <w:tcW w:w="17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80,120,176,806</w:t>
            </w:r>
          </w:p>
        </w:tc>
      </w:tr>
      <w:tr w:rsidR="001B08CF" w:rsidTr="00704A27">
        <w:tc>
          <w:tcPr>
            <w:tcW w:w="6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51</w:t>
            </w:r>
          </w:p>
        </w:tc>
        <w:tc>
          <w:tcPr>
            <w:tcW w:w="32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Current corporate income tax expense</w:t>
            </w:r>
          </w:p>
        </w:tc>
        <w:tc>
          <w:tcPr>
            <w:tcW w:w="17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95,608,626,263</w:t>
            </w:r>
          </w:p>
        </w:tc>
        <w:tc>
          <w:tcPr>
            <w:tcW w:w="16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109,141,420,255</w:t>
            </w:r>
          </w:p>
        </w:tc>
        <w:tc>
          <w:tcPr>
            <w:tcW w:w="17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13,532,793,992</w:t>
            </w:r>
          </w:p>
        </w:tc>
      </w:tr>
      <w:tr w:rsidR="001B08CF" w:rsidTr="00704A27">
        <w:tc>
          <w:tcPr>
            <w:tcW w:w="6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60</w:t>
            </w:r>
          </w:p>
        </w:tc>
        <w:tc>
          <w:tcPr>
            <w:tcW w:w="32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</w:t>
            </w:r>
          </w:p>
        </w:tc>
        <w:tc>
          <w:tcPr>
            <w:tcW w:w="17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91,176,356,238</w:t>
            </w:r>
          </w:p>
        </w:tc>
        <w:tc>
          <w:tcPr>
            <w:tcW w:w="16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157,391,012,544</w:t>
            </w:r>
          </w:p>
        </w:tc>
        <w:tc>
          <w:tcPr>
            <w:tcW w:w="17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66,214,656,306</w:t>
            </w:r>
          </w:p>
        </w:tc>
      </w:tr>
    </w:tbl>
    <w:p w:rsidR="001B08CF" w:rsidRDefault="00704A27" w:rsidP="00704A2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Profit after tax after audit increased by VND 66,214,656,306 compared to figures before audit, mainly due to the following adjustments:</w:t>
      </w:r>
    </w:p>
    <w:p w:rsidR="001B08CF" w:rsidRDefault="00704A27" w:rsidP="00704A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General and administrative expenses decrease by VND 76,960,601,451 due to: </w:t>
      </w:r>
    </w:p>
    <w:p w:rsidR="001B08CF" w:rsidRDefault="00704A27" w:rsidP="00704A2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Adjusted to reduce the expense for provision</w:t>
      </w:r>
      <w:r>
        <w:rPr>
          <w:rFonts w:ascii="Arial" w:hAnsi="Arial"/>
          <w:color w:val="010000"/>
          <w:sz w:val="20"/>
        </w:rPr>
        <w:t xml:space="preserve"> for doubtful</w:t>
      </w:r>
      <w:r>
        <w:rPr>
          <w:rFonts w:ascii="Arial" w:hAnsi="Arial"/>
          <w:color w:val="010000"/>
          <w:sz w:val="20"/>
        </w:rPr>
        <w:t xml:space="preserve"> debts with the amount of VND 73,442,557,897. Because the Company reassessed and recorded a decrease in provision for bad receivable debts from some customers whose debts were recovered after the fiscal year.</w:t>
      </w:r>
    </w:p>
    <w:p w:rsidR="001B08CF" w:rsidRDefault="00704A27" w:rsidP="00704A2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Adjust and reduce the remune</w:t>
      </w:r>
      <w:r>
        <w:rPr>
          <w:rFonts w:ascii="Arial" w:hAnsi="Arial"/>
          <w:color w:val="010000"/>
          <w:sz w:val="20"/>
        </w:rPr>
        <w:t>ration of the Board of Directors and the Supervisory Board in 2023 with the amount of VND 3,630,000,000 according to the decision of the Board of Directors.</w:t>
      </w:r>
    </w:p>
    <w:p w:rsidR="001B08CF" w:rsidRDefault="00704A27" w:rsidP="00704A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Other incomes increase by VND 2,532,058,144 related to inappropriate accounting of financial lease </w:t>
      </w:r>
      <w:r>
        <w:rPr>
          <w:rFonts w:ascii="Arial" w:hAnsi="Arial"/>
          <w:color w:val="010000"/>
          <w:sz w:val="20"/>
        </w:rPr>
        <w:t xml:space="preserve">asset acquisition transactions during the year. </w:t>
      </w:r>
    </w:p>
    <w:p w:rsidR="001B08CF" w:rsidRDefault="00704A27" w:rsidP="00704A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Selling expenses increase by VND 11,277,327,527 and other expenses decrease by VND 12,041,183,938 mainly due to reclassifying other expenses to selling expenses with the amount of VND 11,277,327,527.  </w:t>
      </w:r>
    </w:p>
    <w:p w:rsidR="001B08CF" w:rsidRDefault="00704A27" w:rsidP="00704A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Corpo</w:t>
      </w:r>
      <w:r>
        <w:rPr>
          <w:rFonts w:ascii="Arial" w:hAnsi="Arial"/>
          <w:color w:val="010000"/>
          <w:sz w:val="20"/>
        </w:rPr>
        <w:t xml:space="preserve">rate income tax expenses increase by VND 13,532,793,992 due to increase in profit before tax (affected by the above adjustments). </w:t>
      </w:r>
    </w:p>
    <w:p w:rsidR="001B08CF" w:rsidRDefault="00704A27" w:rsidP="00704A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1B08CF">
          <w:pgSz w:w="11909" w:h="16840"/>
          <w:pgMar w:top="1440" w:right="1440" w:bottom="1440" w:left="1440" w:header="0" w:footer="3" w:gutter="0"/>
          <w:pgNumType w:start="1"/>
          <w:cols w:space="720"/>
        </w:sectPr>
      </w:pPr>
      <w:r>
        <w:rPr>
          <w:rFonts w:ascii="Arial" w:hAnsi="Arial"/>
          <w:color w:val="010000"/>
          <w:sz w:val="20"/>
        </w:rPr>
        <w:t>Other adjustments have negligible effect</w:t>
      </w:r>
      <w:r>
        <w:rPr>
          <w:rFonts w:ascii="Arial" w:hAnsi="Arial"/>
          <w:color w:val="010000"/>
          <w:sz w:val="20"/>
        </w:rPr>
        <w:t>.</w:t>
      </w:r>
    </w:p>
    <w:p w:rsidR="001B08CF" w:rsidRDefault="00704A27" w:rsidP="00704A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>Explanation of fluctuations in the Consolidated Income Statement:</w:t>
      </w:r>
    </w:p>
    <w:tbl>
      <w:tblPr>
        <w:tblStyle w:val="a0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3"/>
        <w:gridCol w:w="3151"/>
        <w:gridCol w:w="1800"/>
        <w:gridCol w:w="1800"/>
        <w:gridCol w:w="1655"/>
      </w:tblGrid>
      <w:tr w:rsidR="001B08CF">
        <w:tc>
          <w:tcPr>
            <w:tcW w:w="6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Code</w:t>
            </w:r>
          </w:p>
        </w:tc>
        <w:tc>
          <w:tcPr>
            <w:tcW w:w="31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Figure before audit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Figure after audit</w:t>
            </w:r>
          </w:p>
        </w:tc>
        <w:tc>
          <w:tcPr>
            <w:tcW w:w="16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Difference</w:t>
            </w:r>
          </w:p>
        </w:tc>
      </w:tr>
      <w:tr w:rsidR="001B08CF">
        <w:tc>
          <w:tcPr>
            <w:tcW w:w="6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31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Revenue deductions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448,540,452,488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429,106,589,805</w:t>
            </w:r>
          </w:p>
        </w:tc>
        <w:tc>
          <w:tcPr>
            <w:tcW w:w="16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(19,433,862,683)</w:t>
            </w:r>
          </w:p>
        </w:tc>
      </w:tr>
      <w:tr w:rsidR="001B08CF">
        <w:tc>
          <w:tcPr>
            <w:tcW w:w="6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</w:t>
            </w:r>
          </w:p>
        </w:tc>
        <w:tc>
          <w:tcPr>
            <w:tcW w:w="31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Cost of goods sold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13,596,921,191,665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13,612,688,894,005</w:t>
            </w:r>
          </w:p>
        </w:tc>
        <w:tc>
          <w:tcPr>
            <w:tcW w:w="16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15,767,702,340</w:t>
            </w:r>
          </w:p>
        </w:tc>
      </w:tr>
      <w:tr w:rsidR="001B08CF">
        <w:tc>
          <w:tcPr>
            <w:tcW w:w="6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21</w:t>
            </w:r>
          </w:p>
        </w:tc>
        <w:tc>
          <w:tcPr>
            <w:tcW w:w="31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Revenue from financial activities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227,430,102,041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227,290,680,658</w:t>
            </w:r>
          </w:p>
        </w:tc>
        <w:tc>
          <w:tcPr>
            <w:tcW w:w="16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(139,421,383)</w:t>
            </w:r>
          </w:p>
        </w:tc>
      </w:tr>
      <w:tr w:rsidR="001B08CF">
        <w:tc>
          <w:tcPr>
            <w:tcW w:w="6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24</w:t>
            </w:r>
          </w:p>
        </w:tc>
        <w:tc>
          <w:tcPr>
            <w:tcW w:w="31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Share of profits in joint ventures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315,814,200,188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527,152,041</w:t>
            </w:r>
          </w:p>
        </w:tc>
        <w:tc>
          <w:tcPr>
            <w:tcW w:w="16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(315,287,048,147)</w:t>
            </w:r>
          </w:p>
        </w:tc>
      </w:tr>
      <w:tr w:rsidR="001B08CF">
        <w:tc>
          <w:tcPr>
            <w:tcW w:w="6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26</w:t>
            </w:r>
          </w:p>
        </w:tc>
        <w:tc>
          <w:tcPr>
            <w:tcW w:w="31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General and administrative expense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718,069,642,536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641,107,311,460</w:t>
            </w:r>
          </w:p>
        </w:tc>
        <w:tc>
          <w:tcPr>
            <w:tcW w:w="16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(76,962,331,076)</w:t>
            </w:r>
          </w:p>
        </w:tc>
      </w:tr>
      <w:tr w:rsidR="001B08CF">
        <w:tc>
          <w:tcPr>
            <w:tcW w:w="6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30</w:t>
            </w:r>
          </w:p>
        </w:tc>
        <w:tc>
          <w:tcPr>
            <w:tcW w:w="31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Net profit from business activities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361,309,431,447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124,223,082,054</w:t>
            </w:r>
          </w:p>
        </w:tc>
        <w:tc>
          <w:tcPr>
            <w:tcW w:w="16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(237,086,349,393)</w:t>
            </w:r>
          </w:p>
        </w:tc>
      </w:tr>
      <w:tr w:rsidR="001B08CF">
        <w:tc>
          <w:tcPr>
            <w:tcW w:w="6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32</w:t>
            </w:r>
          </w:p>
        </w:tc>
        <w:tc>
          <w:tcPr>
            <w:tcW w:w="31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Other expenses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15,097,560,591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11,830,169,425</w:t>
            </w:r>
          </w:p>
        </w:tc>
        <w:tc>
          <w:tcPr>
            <w:tcW w:w="16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(3,267,391,166)</w:t>
            </w:r>
          </w:p>
        </w:tc>
      </w:tr>
      <w:tr w:rsidR="001B08CF">
        <w:tc>
          <w:tcPr>
            <w:tcW w:w="6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40</w:t>
            </w:r>
          </w:p>
        </w:tc>
        <w:tc>
          <w:tcPr>
            <w:tcW w:w="31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Other profits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22,449,668,918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25,717,060,084</w:t>
            </w:r>
          </w:p>
        </w:tc>
        <w:tc>
          <w:tcPr>
            <w:tcW w:w="16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3,267,391,166</w:t>
            </w:r>
          </w:p>
        </w:tc>
      </w:tr>
      <w:tr w:rsidR="001B08CF">
        <w:tc>
          <w:tcPr>
            <w:tcW w:w="6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50</w:t>
            </w:r>
          </w:p>
        </w:tc>
        <w:tc>
          <w:tcPr>
            <w:tcW w:w="31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profit before tax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383,759,100,365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149,940,142,138</w:t>
            </w:r>
          </w:p>
        </w:tc>
        <w:tc>
          <w:tcPr>
            <w:tcW w:w="16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(233,818,958,227)</w:t>
            </w:r>
          </w:p>
        </w:tc>
      </w:tr>
      <w:tr w:rsidR="001B08CF">
        <w:tc>
          <w:tcPr>
            <w:tcW w:w="6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51</w:t>
            </w:r>
          </w:p>
        </w:tc>
        <w:tc>
          <w:tcPr>
            <w:tcW w:w="31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Current corporate income tax expense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110,041,315,175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123,574,109,167</w:t>
            </w:r>
          </w:p>
        </w:tc>
        <w:tc>
          <w:tcPr>
            <w:tcW w:w="16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13,532,793,992</w:t>
            </w:r>
          </w:p>
        </w:tc>
      </w:tr>
      <w:tr w:rsidR="001B08CF">
        <w:tc>
          <w:tcPr>
            <w:tcW w:w="6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52</w:t>
            </w:r>
          </w:p>
        </w:tc>
        <w:tc>
          <w:tcPr>
            <w:tcW w:w="31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Deferred corporate income tax expense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8,622,156,435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9,872,827,346</w:t>
            </w:r>
          </w:p>
        </w:tc>
        <w:tc>
          <w:tcPr>
            <w:tcW w:w="16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1,250,670,911</w:t>
            </w:r>
          </w:p>
        </w:tc>
      </w:tr>
      <w:tr w:rsidR="001B08CF">
        <w:tc>
          <w:tcPr>
            <w:tcW w:w="6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60</w:t>
            </w:r>
          </w:p>
        </w:tc>
        <w:tc>
          <w:tcPr>
            <w:tcW w:w="31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265,095,628,755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16,493,205,625</w:t>
            </w:r>
          </w:p>
        </w:tc>
        <w:tc>
          <w:tcPr>
            <w:tcW w:w="16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(248,602,423,130)</w:t>
            </w:r>
          </w:p>
        </w:tc>
      </w:tr>
      <w:tr w:rsidR="001B08CF">
        <w:tc>
          <w:tcPr>
            <w:tcW w:w="6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61</w:t>
            </w:r>
          </w:p>
        </w:tc>
        <w:tc>
          <w:tcPr>
            <w:tcW w:w="31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 of the Holding Company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265,496,274,107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16,893,850,977</w:t>
            </w:r>
          </w:p>
        </w:tc>
        <w:tc>
          <w:tcPr>
            <w:tcW w:w="16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B08CF" w:rsidRDefault="00704A27" w:rsidP="00704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(248,602,423,130)</w:t>
            </w:r>
          </w:p>
        </w:tc>
      </w:tr>
    </w:tbl>
    <w:p w:rsidR="001B08CF" w:rsidRDefault="00704A27" w:rsidP="00704A2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Profit after tax after audit decreases by VND 248,602,423,130 compared to the Self-made Financial Statements mainly due to the following adjustments:</w:t>
      </w:r>
    </w:p>
    <w:p w:rsidR="001B08CF" w:rsidRDefault="00704A27" w:rsidP="00704A2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D</w:t>
      </w:r>
      <w:r>
        <w:rPr>
          <w:rFonts w:ascii="Arial" w:hAnsi="Arial"/>
          <w:color w:val="010000"/>
          <w:sz w:val="20"/>
        </w:rPr>
        <w:t>eductions decrease by VND 19,433,862,683 and cost of goods sold increases by VND 15,767,702,340 m</w:t>
      </w:r>
      <w:r>
        <w:rPr>
          <w:rFonts w:ascii="Arial" w:hAnsi="Arial"/>
          <w:color w:val="010000"/>
          <w:sz w:val="20"/>
        </w:rPr>
        <w:t xml:space="preserve">ainly due to the exclusion of trade discounts and cost of goods sold from sales transactions within the Group, which have not been appropriately reflected in the Self-made Consolidated Financial Statements.  </w:t>
      </w:r>
    </w:p>
    <w:p w:rsidR="001B08CF" w:rsidRDefault="00704A27" w:rsidP="00704A2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Profit from joint ventures decreases by VND 315</w:t>
      </w:r>
      <w:r>
        <w:rPr>
          <w:rFonts w:ascii="Arial" w:hAnsi="Arial"/>
          <w:color w:val="010000"/>
          <w:sz w:val="20"/>
        </w:rPr>
        <w:t>,287,048,147 due to the exclusion of gains from low-cost transactions due to the impact of determining the fair value of</w:t>
      </w:r>
      <w:r>
        <w:rPr>
          <w:rFonts w:ascii="Arial" w:hAnsi="Arial"/>
          <w:color w:val="010000"/>
          <w:sz w:val="20"/>
        </w:rPr>
        <w:t xml:space="preserve"> joint ventures’ net assets at the acquisition date which has not been appropriately reflected in the Self-Made Consolidated Financi</w:t>
      </w:r>
      <w:r>
        <w:rPr>
          <w:rFonts w:ascii="Arial" w:hAnsi="Arial"/>
          <w:color w:val="010000"/>
          <w:sz w:val="20"/>
        </w:rPr>
        <w:t xml:space="preserve">al Statements and the exclusion of unrealized profits arising from transactions within the Group. </w:t>
      </w:r>
    </w:p>
    <w:p w:rsidR="001B08CF" w:rsidRDefault="00704A27" w:rsidP="00704A2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General and administrative expenses decrease by VND 76,962,331,076 mainly due to the impact of adjustments at the Holding Company as explained in section I. </w:t>
      </w:r>
    </w:p>
    <w:p w:rsidR="001B08CF" w:rsidRDefault="00704A27" w:rsidP="00704A2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expenses decrease by VND 3,267,391,166 mainly related to inappropriate recognition of financial lease</w:t>
      </w:r>
      <w:r>
        <w:rPr>
          <w:rFonts w:ascii="Arial" w:hAnsi="Arial"/>
          <w:color w:val="010000"/>
          <w:sz w:val="20"/>
        </w:rPr>
        <w:t xml:space="preserve"> acquisition operations during the year. </w:t>
      </w:r>
    </w:p>
    <w:p w:rsidR="001B08CF" w:rsidRDefault="00704A27" w:rsidP="00704A2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adjustments have negligible effect</w:t>
      </w:r>
      <w:bookmarkStart w:id="0" w:name="_GoBack"/>
      <w:bookmarkEnd w:id="0"/>
      <w:r>
        <w:rPr>
          <w:rFonts w:ascii="Arial" w:hAnsi="Arial"/>
          <w:color w:val="010000"/>
          <w:sz w:val="20"/>
        </w:rPr>
        <w:t>.</w:t>
      </w:r>
    </w:p>
    <w:p w:rsidR="001B08CF" w:rsidRDefault="001B08CF" w:rsidP="00704A2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1B08CF">
      <w:type w:val="continuous"/>
      <w:pgSz w:w="11909" w:h="16840"/>
      <w:pgMar w:top="1440" w:right="1440" w:bottom="1440" w:left="1440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A29A2"/>
    <w:multiLevelType w:val="multilevel"/>
    <w:tmpl w:val="C49C191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F1F1F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9206ACF"/>
    <w:multiLevelType w:val="multilevel"/>
    <w:tmpl w:val="A2DA1F9E"/>
    <w:lvl w:ilvl="0">
      <w:start w:val="1"/>
      <w:numFmt w:val="decimal"/>
      <w:lvlText w:val="II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A814B59"/>
    <w:multiLevelType w:val="multilevel"/>
    <w:tmpl w:val="D2E08B7A"/>
    <w:lvl w:ilvl="0">
      <w:start w:val="1"/>
      <w:numFmt w:val="decimal"/>
      <w:lvlText w:val="I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9972230"/>
    <w:multiLevelType w:val="multilevel"/>
    <w:tmpl w:val="9A30CA3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F1F1F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BDD69AE"/>
    <w:multiLevelType w:val="multilevel"/>
    <w:tmpl w:val="273EEE7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F1F1F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CF"/>
    <w:rsid w:val="001B08CF"/>
    <w:rsid w:val="0070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F155D"/>
  <w15:docId w15:val="{D19A8650-CE0F-425C-8CD1-329B30EC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F1F"/>
      <w:sz w:val="20"/>
      <w:szCs w:val="20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F1F"/>
      <w:sz w:val="20"/>
      <w:szCs w:val="20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1F1F"/>
      <w:sz w:val="22"/>
      <w:szCs w:val="2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 w:val="0"/>
      <w:bCs w:val="0"/>
      <w:i w:val="0"/>
      <w:iCs w:val="0"/>
      <w:smallCaps w:val="0"/>
      <w:strike w:val="0"/>
      <w:sz w:val="74"/>
      <w:szCs w:val="74"/>
      <w:u w:val="none"/>
      <w:shd w:val="clear" w:color="auto" w:fill="auto"/>
    </w:rPr>
  </w:style>
  <w:style w:type="character" w:customStyle="1" w:styleId="Tiu3">
    <w:name w:val="Tiêu đề #3_"/>
    <w:basedOn w:val="DefaultParagraphFont"/>
    <w:link w:val="Tiu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color w:val="1F1F1F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90" w:lineRule="auto"/>
    </w:pPr>
    <w:rPr>
      <w:rFonts w:ascii="Times New Roman" w:eastAsia="Times New Roman" w:hAnsi="Times New Roman" w:cs="Times New Roman"/>
      <w:color w:val="1F1F1F"/>
      <w:sz w:val="20"/>
      <w:szCs w:val="20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Khc0">
    <w:name w:val="Khác"/>
    <w:basedOn w:val="Normal"/>
    <w:link w:val="Khc"/>
    <w:pPr>
      <w:spacing w:line="290" w:lineRule="auto"/>
    </w:pPr>
    <w:rPr>
      <w:rFonts w:ascii="Times New Roman" w:eastAsia="Times New Roman" w:hAnsi="Times New Roman" w:cs="Times New Roman"/>
      <w:color w:val="1F1F1F"/>
      <w:sz w:val="20"/>
      <w:szCs w:val="20"/>
    </w:rPr>
  </w:style>
  <w:style w:type="paragraph" w:customStyle="1" w:styleId="Tiu20">
    <w:name w:val="Tiêu đề #2"/>
    <w:basedOn w:val="Normal"/>
    <w:link w:val="Tiu2"/>
    <w:pPr>
      <w:ind w:firstLine="290"/>
      <w:jc w:val="center"/>
      <w:outlineLvl w:val="1"/>
    </w:pPr>
    <w:rPr>
      <w:rFonts w:ascii="Times New Roman" w:eastAsia="Times New Roman" w:hAnsi="Times New Roman" w:cs="Times New Roman"/>
      <w:b/>
      <w:bCs/>
      <w:color w:val="1F1F1F"/>
      <w:sz w:val="22"/>
      <w:szCs w:val="22"/>
    </w:rPr>
  </w:style>
  <w:style w:type="paragraph" w:customStyle="1" w:styleId="Tiu10">
    <w:name w:val="Tiêu đề #1"/>
    <w:basedOn w:val="Normal"/>
    <w:link w:val="Tiu1"/>
    <w:pPr>
      <w:spacing w:line="211" w:lineRule="auto"/>
      <w:jc w:val="center"/>
      <w:outlineLvl w:val="0"/>
    </w:pPr>
    <w:rPr>
      <w:rFonts w:ascii="Arial" w:eastAsia="Arial" w:hAnsi="Arial" w:cs="Arial"/>
      <w:sz w:val="74"/>
      <w:szCs w:val="74"/>
    </w:rPr>
  </w:style>
  <w:style w:type="paragraph" w:customStyle="1" w:styleId="Tiu30">
    <w:name w:val="Tiêu đề #3"/>
    <w:basedOn w:val="Normal"/>
    <w:link w:val="Tiu3"/>
    <w:pPr>
      <w:spacing w:line="233" w:lineRule="auto"/>
      <w:outlineLvl w:val="2"/>
    </w:pPr>
    <w:rPr>
      <w:rFonts w:ascii="Arial" w:eastAsia="Arial" w:hAnsi="Arial" w:cs="Arial"/>
    </w:rPr>
  </w:style>
  <w:style w:type="paragraph" w:customStyle="1" w:styleId="Vnbnnidung20">
    <w:name w:val="Văn bản nội dung (2)"/>
    <w:basedOn w:val="Normal"/>
    <w:link w:val="Vnbnnidung2"/>
    <w:pPr>
      <w:spacing w:line="235" w:lineRule="auto"/>
    </w:pPr>
    <w:rPr>
      <w:rFonts w:ascii="Arial" w:eastAsia="Arial" w:hAnsi="Arial" w:cs="Arial"/>
      <w:smallCaps/>
    </w:rPr>
  </w:style>
  <w:style w:type="paragraph" w:customStyle="1" w:styleId="Vnbnnidung30">
    <w:name w:val="Văn bản nội dung (3)"/>
    <w:basedOn w:val="Normal"/>
    <w:link w:val="Vnbnnidung3"/>
    <w:pPr>
      <w:jc w:val="right"/>
    </w:pPr>
    <w:rPr>
      <w:rFonts w:ascii="Arial" w:eastAsia="Arial" w:hAnsi="Arial" w:cs="Arial"/>
      <w:color w:val="1F1F1F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FzgG4c3adSGoKi3dF/6kC4V+dw==">CgMxLjA4AHIhMXk5WWhaam9aTFJTQkludDIxWnEyM2E4cXhFMVFYaXV6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2024-04-04T05:06:00Z</dcterms:created>
  <dcterms:modified xsi:type="dcterms:W3CDTF">2024-04-04T05:06:00Z</dcterms:modified>
</cp:coreProperties>
</file>