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EF0C" w14:textId="5CFA789A" w:rsidR="00DB275F" w:rsidRDefault="008F4EF3" w:rsidP="00A37F32">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NVL122001: Explanation on the difference in profit after tax on the Audited Separate Financial Statements 2023</w:t>
      </w:r>
    </w:p>
    <w:p w14:paraId="75EF5754" w14:textId="77777777" w:rsidR="00DB275F" w:rsidRDefault="008F4EF3" w:rsidP="00A37F3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31, 2024, No </w:t>
      </w:r>
      <w:proofErr w:type="spellStart"/>
      <w:r>
        <w:rPr>
          <w:rFonts w:ascii="Arial" w:hAnsi="Arial"/>
          <w:color w:val="010000"/>
          <w:sz w:val="20"/>
        </w:rPr>
        <w:t>Va</w:t>
      </w:r>
      <w:proofErr w:type="spellEnd"/>
      <w:r>
        <w:rPr>
          <w:rFonts w:ascii="Arial" w:hAnsi="Arial"/>
          <w:color w:val="010000"/>
          <w:sz w:val="20"/>
        </w:rPr>
        <w:t xml:space="preserve"> Land Investment Group Corporation announced Official Dispatch No. 103/2024-CV-NVLG on explaining the difference of 10% or more in profit after tax on the Separate Financial Statements compared to that of the same period last year as follows: </w:t>
      </w:r>
    </w:p>
    <w:p w14:paraId="79F625A7"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983"/>
        <w:gridCol w:w="2121"/>
        <w:gridCol w:w="2009"/>
        <w:gridCol w:w="2128"/>
        <w:gridCol w:w="1124"/>
      </w:tblGrid>
      <w:tr w:rsidR="00DB275F" w14:paraId="579C92E0" w14:textId="77777777">
        <w:tc>
          <w:tcPr>
            <w:tcW w:w="652" w:type="dxa"/>
            <w:shd w:val="clear" w:color="auto" w:fill="auto"/>
            <w:vAlign w:val="center"/>
          </w:tcPr>
          <w:p w14:paraId="730F7D6A"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83" w:type="dxa"/>
            <w:shd w:val="clear" w:color="auto" w:fill="auto"/>
            <w:vAlign w:val="center"/>
          </w:tcPr>
          <w:p w14:paraId="344B2E30"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2121" w:type="dxa"/>
            <w:shd w:val="clear" w:color="auto" w:fill="auto"/>
            <w:vAlign w:val="center"/>
          </w:tcPr>
          <w:p w14:paraId="4337C9D2"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Fiscal year ending December 31, 2023</w:t>
            </w:r>
          </w:p>
        </w:tc>
        <w:tc>
          <w:tcPr>
            <w:tcW w:w="2009" w:type="dxa"/>
            <w:shd w:val="clear" w:color="auto" w:fill="auto"/>
            <w:vAlign w:val="center"/>
          </w:tcPr>
          <w:p w14:paraId="4E4643B9"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Fiscal year ending December 31, 2022</w:t>
            </w:r>
          </w:p>
        </w:tc>
        <w:tc>
          <w:tcPr>
            <w:tcW w:w="2128" w:type="dxa"/>
            <w:shd w:val="clear" w:color="auto" w:fill="auto"/>
            <w:vAlign w:val="center"/>
          </w:tcPr>
          <w:p w14:paraId="78A0E027"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Difference</w:t>
            </w:r>
          </w:p>
        </w:tc>
        <w:tc>
          <w:tcPr>
            <w:tcW w:w="1124" w:type="dxa"/>
            <w:shd w:val="clear" w:color="auto" w:fill="auto"/>
            <w:vAlign w:val="center"/>
          </w:tcPr>
          <w:p w14:paraId="4EC4311A"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increase/ (decrease)</w:t>
            </w:r>
          </w:p>
        </w:tc>
      </w:tr>
      <w:tr w:rsidR="00DB275F" w14:paraId="7BFB675D" w14:textId="77777777">
        <w:tc>
          <w:tcPr>
            <w:tcW w:w="652" w:type="dxa"/>
            <w:shd w:val="clear" w:color="auto" w:fill="auto"/>
            <w:vAlign w:val="center"/>
          </w:tcPr>
          <w:p w14:paraId="2CBB92D0"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983" w:type="dxa"/>
            <w:shd w:val="clear" w:color="auto" w:fill="auto"/>
            <w:vAlign w:val="center"/>
          </w:tcPr>
          <w:p w14:paraId="32FBFD92"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2121" w:type="dxa"/>
            <w:shd w:val="clear" w:color="auto" w:fill="auto"/>
            <w:vAlign w:val="center"/>
          </w:tcPr>
          <w:p w14:paraId="083B92E0"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(3,869,270,734,772)</w:t>
            </w:r>
          </w:p>
        </w:tc>
        <w:tc>
          <w:tcPr>
            <w:tcW w:w="2009" w:type="dxa"/>
            <w:shd w:val="clear" w:color="auto" w:fill="auto"/>
            <w:vAlign w:val="center"/>
          </w:tcPr>
          <w:p w14:paraId="707E3DC4"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(613,586,420,558)</w:t>
            </w:r>
          </w:p>
        </w:tc>
        <w:tc>
          <w:tcPr>
            <w:tcW w:w="2128" w:type="dxa"/>
            <w:shd w:val="clear" w:color="auto" w:fill="auto"/>
            <w:vAlign w:val="center"/>
          </w:tcPr>
          <w:p w14:paraId="3614705B"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(3,255,684,314,214)</w:t>
            </w:r>
          </w:p>
        </w:tc>
        <w:tc>
          <w:tcPr>
            <w:tcW w:w="1124" w:type="dxa"/>
            <w:shd w:val="clear" w:color="auto" w:fill="auto"/>
            <w:vAlign w:val="center"/>
          </w:tcPr>
          <w:p w14:paraId="4927191E"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530.60%</w:t>
            </w:r>
          </w:p>
        </w:tc>
      </w:tr>
    </w:tbl>
    <w:p w14:paraId="41E416A3" w14:textId="77777777" w:rsidR="00DB275F" w:rsidRDefault="008F4EF3" w:rsidP="00A37F3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the Separate Financial Statements for the fiscal year ending December 31, 2023 decreases compared to that of the same period in 2022 due to the influence of the following factors: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6"/>
        <w:gridCol w:w="2189"/>
        <w:gridCol w:w="1170"/>
        <w:gridCol w:w="752"/>
      </w:tblGrid>
      <w:tr w:rsidR="00DB275F" w14:paraId="22C030B9" w14:textId="77777777">
        <w:tc>
          <w:tcPr>
            <w:tcW w:w="4906" w:type="dxa"/>
            <w:shd w:val="clear" w:color="auto" w:fill="auto"/>
            <w:vAlign w:val="center"/>
          </w:tcPr>
          <w:p w14:paraId="66454700"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Items</w:t>
            </w:r>
          </w:p>
        </w:tc>
        <w:tc>
          <w:tcPr>
            <w:tcW w:w="2189" w:type="dxa"/>
            <w:shd w:val="clear" w:color="auto" w:fill="auto"/>
            <w:vAlign w:val="center"/>
          </w:tcPr>
          <w:p w14:paraId="0AC1B866"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Value (VND)</w:t>
            </w:r>
          </w:p>
        </w:tc>
        <w:tc>
          <w:tcPr>
            <w:tcW w:w="1170" w:type="dxa"/>
            <w:shd w:val="clear" w:color="auto" w:fill="auto"/>
            <w:vAlign w:val="center"/>
          </w:tcPr>
          <w:p w14:paraId="44CBDC06"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increase/ (decrease)</w:t>
            </w:r>
          </w:p>
        </w:tc>
        <w:tc>
          <w:tcPr>
            <w:tcW w:w="752" w:type="dxa"/>
            <w:shd w:val="clear" w:color="auto" w:fill="auto"/>
            <w:vAlign w:val="center"/>
          </w:tcPr>
          <w:p w14:paraId="5BC4AA25"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Explanation</w:t>
            </w:r>
          </w:p>
        </w:tc>
      </w:tr>
      <w:tr w:rsidR="00DB275F" w14:paraId="4363E09E" w14:textId="77777777">
        <w:tc>
          <w:tcPr>
            <w:tcW w:w="4906" w:type="dxa"/>
            <w:shd w:val="clear" w:color="auto" w:fill="auto"/>
            <w:vAlign w:val="center"/>
          </w:tcPr>
          <w:p w14:paraId="4219F689"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difference in profit after tax in 2023 compared to that of 2022</w:t>
            </w:r>
          </w:p>
        </w:tc>
        <w:tc>
          <w:tcPr>
            <w:tcW w:w="2189" w:type="dxa"/>
            <w:shd w:val="clear" w:color="auto" w:fill="auto"/>
            <w:vAlign w:val="center"/>
          </w:tcPr>
          <w:p w14:paraId="7913AAA0"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-3,255,684,314,214</w:t>
            </w:r>
          </w:p>
        </w:tc>
        <w:tc>
          <w:tcPr>
            <w:tcW w:w="1170" w:type="dxa"/>
            <w:shd w:val="clear" w:color="auto" w:fill="auto"/>
            <w:vAlign w:val="center"/>
          </w:tcPr>
          <w:p w14:paraId="0285B98F" w14:textId="77777777" w:rsidR="00DB275F" w:rsidRDefault="00DB275F">
            <w:pPr>
              <w:spacing w:after="120" w:line="360" w:lineRule="auto"/>
              <w:rPr>
                <w:rFonts w:ascii="Arial" w:eastAsia="Arial" w:hAnsi="Arial" w:cs="Arial"/>
                <w:color w:val="010000"/>
                <w:sz w:val="20"/>
                <w:szCs w:val="20"/>
              </w:rPr>
            </w:pPr>
          </w:p>
        </w:tc>
        <w:tc>
          <w:tcPr>
            <w:tcW w:w="752" w:type="dxa"/>
            <w:shd w:val="clear" w:color="auto" w:fill="auto"/>
            <w:vAlign w:val="center"/>
          </w:tcPr>
          <w:p w14:paraId="5F2C591F" w14:textId="77777777" w:rsidR="00DB275F" w:rsidRDefault="00DB275F">
            <w:pPr>
              <w:spacing w:after="120" w:line="360" w:lineRule="auto"/>
              <w:rPr>
                <w:rFonts w:ascii="Arial" w:eastAsia="Arial" w:hAnsi="Arial" w:cs="Arial"/>
                <w:color w:val="010000"/>
                <w:sz w:val="20"/>
                <w:szCs w:val="20"/>
              </w:rPr>
            </w:pPr>
          </w:p>
        </w:tc>
      </w:tr>
      <w:tr w:rsidR="00DB275F" w14:paraId="01CE54BD" w14:textId="77777777">
        <w:tc>
          <w:tcPr>
            <w:tcW w:w="4906" w:type="dxa"/>
            <w:shd w:val="clear" w:color="auto" w:fill="auto"/>
            <w:vAlign w:val="center"/>
          </w:tcPr>
          <w:p w14:paraId="69ACDC85"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which:</w:t>
            </w:r>
          </w:p>
        </w:tc>
        <w:tc>
          <w:tcPr>
            <w:tcW w:w="2189" w:type="dxa"/>
            <w:shd w:val="clear" w:color="auto" w:fill="auto"/>
            <w:vAlign w:val="center"/>
          </w:tcPr>
          <w:p w14:paraId="2794D354" w14:textId="77777777" w:rsidR="00DB275F" w:rsidRDefault="00DB275F">
            <w:pPr>
              <w:spacing w:after="120" w:line="360" w:lineRule="auto"/>
              <w:rPr>
                <w:rFonts w:ascii="Arial" w:eastAsia="Arial" w:hAnsi="Arial" w:cs="Arial"/>
                <w:color w:val="010000"/>
                <w:sz w:val="20"/>
                <w:szCs w:val="20"/>
              </w:rPr>
            </w:pPr>
          </w:p>
        </w:tc>
        <w:tc>
          <w:tcPr>
            <w:tcW w:w="1170" w:type="dxa"/>
            <w:shd w:val="clear" w:color="auto" w:fill="auto"/>
            <w:vAlign w:val="center"/>
          </w:tcPr>
          <w:p w14:paraId="137BFE68" w14:textId="77777777" w:rsidR="00DB275F" w:rsidRDefault="00DB275F">
            <w:pPr>
              <w:spacing w:after="120" w:line="360" w:lineRule="auto"/>
              <w:rPr>
                <w:rFonts w:ascii="Arial" w:eastAsia="Arial" w:hAnsi="Arial" w:cs="Arial"/>
                <w:color w:val="010000"/>
                <w:sz w:val="20"/>
                <w:szCs w:val="20"/>
              </w:rPr>
            </w:pPr>
          </w:p>
        </w:tc>
        <w:tc>
          <w:tcPr>
            <w:tcW w:w="752" w:type="dxa"/>
            <w:shd w:val="clear" w:color="auto" w:fill="auto"/>
            <w:vAlign w:val="center"/>
          </w:tcPr>
          <w:p w14:paraId="16DB9ACC" w14:textId="77777777" w:rsidR="00DB275F" w:rsidRDefault="00DB275F">
            <w:pPr>
              <w:spacing w:after="120" w:line="360" w:lineRule="auto"/>
              <w:rPr>
                <w:rFonts w:ascii="Arial" w:eastAsia="Arial" w:hAnsi="Arial" w:cs="Arial"/>
                <w:color w:val="010000"/>
                <w:sz w:val="20"/>
                <w:szCs w:val="20"/>
              </w:rPr>
            </w:pPr>
          </w:p>
        </w:tc>
      </w:tr>
      <w:tr w:rsidR="00DB275F" w14:paraId="19E039EA" w14:textId="77777777">
        <w:tc>
          <w:tcPr>
            <w:tcW w:w="4906" w:type="dxa"/>
            <w:shd w:val="clear" w:color="auto" w:fill="auto"/>
            <w:vAlign w:val="center"/>
          </w:tcPr>
          <w:p w14:paraId="639574DB"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Difference in reduction of financial revenue:</w:t>
            </w:r>
          </w:p>
        </w:tc>
        <w:tc>
          <w:tcPr>
            <w:tcW w:w="2189" w:type="dxa"/>
            <w:shd w:val="clear" w:color="auto" w:fill="auto"/>
            <w:vAlign w:val="center"/>
          </w:tcPr>
          <w:p w14:paraId="77B0D71D"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-3,635,451,207,118</w:t>
            </w:r>
          </w:p>
        </w:tc>
        <w:tc>
          <w:tcPr>
            <w:tcW w:w="1170" w:type="dxa"/>
            <w:shd w:val="clear" w:color="auto" w:fill="auto"/>
            <w:vAlign w:val="center"/>
          </w:tcPr>
          <w:p w14:paraId="56397768"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-75%</w:t>
            </w:r>
          </w:p>
        </w:tc>
        <w:tc>
          <w:tcPr>
            <w:tcW w:w="752" w:type="dxa"/>
            <w:shd w:val="clear" w:color="auto" w:fill="auto"/>
            <w:vAlign w:val="center"/>
          </w:tcPr>
          <w:p w14:paraId="75A6C4FE" w14:textId="77777777" w:rsidR="00DB275F" w:rsidRDefault="00DB275F">
            <w:pPr>
              <w:spacing w:after="120" w:line="360" w:lineRule="auto"/>
              <w:rPr>
                <w:rFonts w:ascii="Arial" w:eastAsia="Arial" w:hAnsi="Arial" w:cs="Arial"/>
                <w:color w:val="010000"/>
                <w:sz w:val="20"/>
                <w:szCs w:val="20"/>
              </w:rPr>
            </w:pPr>
          </w:p>
        </w:tc>
      </w:tr>
      <w:tr w:rsidR="00DB275F" w14:paraId="3622A6C0" w14:textId="77777777">
        <w:tc>
          <w:tcPr>
            <w:tcW w:w="4906" w:type="dxa"/>
            <w:shd w:val="clear" w:color="auto" w:fill="auto"/>
            <w:vAlign w:val="center"/>
          </w:tcPr>
          <w:p w14:paraId="4A1A8060" w14:textId="77777777" w:rsidR="00DB275F" w:rsidRDefault="008F4EF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Difference in reduction of dividends received</w:t>
            </w:r>
          </w:p>
        </w:tc>
        <w:tc>
          <w:tcPr>
            <w:tcW w:w="2189" w:type="dxa"/>
            <w:shd w:val="clear" w:color="auto" w:fill="auto"/>
            <w:vAlign w:val="center"/>
          </w:tcPr>
          <w:p w14:paraId="75BBCFD1"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-1,895,533,218,000</w:t>
            </w:r>
          </w:p>
        </w:tc>
        <w:tc>
          <w:tcPr>
            <w:tcW w:w="1170" w:type="dxa"/>
            <w:shd w:val="clear" w:color="auto" w:fill="auto"/>
            <w:vAlign w:val="center"/>
          </w:tcPr>
          <w:p w14:paraId="4120892D" w14:textId="77777777" w:rsidR="00DB275F" w:rsidRDefault="00DB275F">
            <w:pPr>
              <w:spacing w:after="120" w:line="360" w:lineRule="auto"/>
              <w:rPr>
                <w:rFonts w:ascii="Arial" w:eastAsia="Arial" w:hAnsi="Arial" w:cs="Arial"/>
                <w:color w:val="010000"/>
                <w:sz w:val="20"/>
                <w:szCs w:val="20"/>
              </w:rPr>
            </w:pPr>
          </w:p>
        </w:tc>
        <w:tc>
          <w:tcPr>
            <w:tcW w:w="752" w:type="dxa"/>
            <w:shd w:val="clear" w:color="auto" w:fill="auto"/>
            <w:vAlign w:val="center"/>
          </w:tcPr>
          <w:p w14:paraId="183B4DC1"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roofErr w:type="spellStart"/>
            <w:r>
              <w:rPr>
                <w:rFonts w:ascii="Arial" w:hAnsi="Arial"/>
                <w:color w:val="010000"/>
                <w:sz w:val="20"/>
              </w:rPr>
              <w:t>i</w:t>
            </w:r>
            <w:proofErr w:type="spellEnd"/>
            <w:r>
              <w:rPr>
                <w:rFonts w:ascii="Arial" w:hAnsi="Arial"/>
                <w:color w:val="010000"/>
                <w:sz w:val="20"/>
              </w:rPr>
              <w:t xml:space="preserve">) </w:t>
            </w:r>
          </w:p>
        </w:tc>
      </w:tr>
      <w:tr w:rsidR="00DB275F" w14:paraId="6493821D" w14:textId="77777777">
        <w:tc>
          <w:tcPr>
            <w:tcW w:w="4906" w:type="dxa"/>
            <w:shd w:val="clear" w:color="auto" w:fill="auto"/>
            <w:vAlign w:val="center"/>
          </w:tcPr>
          <w:p w14:paraId="6A63F215" w14:textId="77777777" w:rsidR="00DB275F" w:rsidRDefault="008F4EF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Difference in reduction of transfer revenue</w:t>
            </w:r>
          </w:p>
        </w:tc>
        <w:tc>
          <w:tcPr>
            <w:tcW w:w="2189" w:type="dxa"/>
            <w:shd w:val="clear" w:color="auto" w:fill="auto"/>
            <w:vAlign w:val="center"/>
          </w:tcPr>
          <w:p w14:paraId="174B03C5"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-1,675,962,000,000</w:t>
            </w:r>
          </w:p>
        </w:tc>
        <w:tc>
          <w:tcPr>
            <w:tcW w:w="1170" w:type="dxa"/>
            <w:shd w:val="clear" w:color="auto" w:fill="auto"/>
            <w:vAlign w:val="center"/>
          </w:tcPr>
          <w:p w14:paraId="33DC64E0" w14:textId="77777777" w:rsidR="00DB275F" w:rsidRDefault="00DB275F">
            <w:pPr>
              <w:spacing w:after="120" w:line="360" w:lineRule="auto"/>
              <w:rPr>
                <w:rFonts w:ascii="Arial" w:eastAsia="Arial" w:hAnsi="Arial" w:cs="Arial"/>
                <w:color w:val="010000"/>
                <w:sz w:val="20"/>
                <w:szCs w:val="20"/>
              </w:rPr>
            </w:pPr>
          </w:p>
        </w:tc>
        <w:tc>
          <w:tcPr>
            <w:tcW w:w="752" w:type="dxa"/>
            <w:shd w:val="clear" w:color="auto" w:fill="auto"/>
            <w:vAlign w:val="center"/>
          </w:tcPr>
          <w:p w14:paraId="2916A3B8"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r>
      <w:tr w:rsidR="00DB275F" w14:paraId="633BEC01" w14:textId="77777777">
        <w:tc>
          <w:tcPr>
            <w:tcW w:w="4906" w:type="dxa"/>
            <w:shd w:val="clear" w:color="auto" w:fill="auto"/>
            <w:vAlign w:val="center"/>
          </w:tcPr>
          <w:p w14:paraId="09F37C30" w14:textId="77777777" w:rsidR="00DB275F" w:rsidRDefault="008F4EF3">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Other differences in financial revenue </w:t>
            </w:r>
          </w:p>
        </w:tc>
        <w:tc>
          <w:tcPr>
            <w:tcW w:w="2189" w:type="dxa"/>
            <w:shd w:val="clear" w:color="auto" w:fill="auto"/>
            <w:vAlign w:val="center"/>
          </w:tcPr>
          <w:p w14:paraId="5CEFF542"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-63,955,989,118</w:t>
            </w:r>
          </w:p>
        </w:tc>
        <w:tc>
          <w:tcPr>
            <w:tcW w:w="1170" w:type="dxa"/>
            <w:shd w:val="clear" w:color="auto" w:fill="auto"/>
            <w:vAlign w:val="center"/>
          </w:tcPr>
          <w:p w14:paraId="7CA0CB2D" w14:textId="77777777" w:rsidR="00DB275F" w:rsidRDefault="00DB275F">
            <w:pPr>
              <w:spacing w:after="120" w:line="360" w:lineRule="auto"/>
              <w:rPr>
                <w:rFonts w:ascii="Arial" w:eastAsia="Arial" w:hAnsi="Arial" w:cs="Arial"/>
                <w:color w:val="010000"/>
                <w:sz w:val="20"/>
                <w:szCs w:val="20"/>
              </w:rPr>
            </w:pPr>
          </w:p>
        </w:tc>
        <w:tc>
          <w:tcPr>
            <w:tcW w:w="752" w:type="dxa"/>
            <w:shd w:val="clear" w:color="auto" w:fill="auto"/>
            <w:vAlign w:val="center"/>
          </w:tcPr>
          <w:p w14:paraId="3F9F7442" w14:textId="77777777" w:rsidR="00DB275F" w:rsidRDefault="00DB275F">
            <w:pPr>
              <w:spacing w:after="120" w:line="360" w:lineRule="auto"/>
              <w:rPr>
                <w:rFonts w:ascii="Arial" w:eastAsia="Arial" w:hAnsi="Arial" w:cs="Arial"/>
                <w:color w:val="010000"/>
                <w:sz w:val="20"/>
                <w:szCs w:val="20"/>
              </w:rPr>
            </w:pPr>
          </w:p>
        </w:tc>
      </w:tr>
      <w:tr w:rsidR="00DB275F" w14:paraId="39030AC5" w14:textId="77777777">
        <w:tc>
          <w:tcPr>
            <w:tcW w:w="4906" w:type="dxa"/>
            <w:shd w:val="clear" w:color="auto" w:fill="auto"/>
            <w:vAlign w:val="center"/>
          </w:tcPr>
          <w:p w14:paraId="0CD9CF03"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 Other differences </w:t>
            </w:r>
          </w:p>
        </w:tc>
        <w:tc>
          <w:tcPr>
            <w:tcW w:w="2189" w:type="dxa"/>
            <w:shd w:val="clear" w:color="auto" w:fill="auto"/>
            <w:vAlign w:val="center"/>
          </w:tcPr>
          <w:p w14:paraId="1AE7681B"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379,766,892,904</w:t>
            </w:r>
          </w:p>
        </w:tc>
        <w:tc>
          <w:tcPr>
            <w:tcW w:w="1170" w:type="dxa"/>
            <w:shd w:val="clear" w:color="auto" w:fill="auto"/>
            <w:vAlign w:val="center"/>
          </w:tcPr>
          <w:p w14:paraId="3A918842" w14:textId="77777777" w:rsidR="00DB275F" w:rsidRDefault="00DB275F">
            <w:pPr>
              <w:spacing w:after="120" w:line="360" w:lineRule="auto"/>
              <w:rPr>
                <w:rFonts w:ascii="Arial" w:eastAsia="Arial" w:hAnsi="Arial" w:cs="Arial"/>
                <w:color w:val="010000"/>
                <w:sz w:val="20"/>
                <w:szCs w:val="20"/>
              </w:rPr>
            </w:pPr>
          </w:p>
        </w:tc>
        <w:tc>
          <w:tcPr>
            <w:tcW w:w="752" w:type="dxa"/>
            <w:shd w:val="clear" w:color="auto" w:fill="auto"/>
            <w:vAlign w:val="center"/>
          </w:tcPr>
          <w:p w14:paraId="7C252B82" w14:textId="77777777" w:rsidR="00DB275F" w:rsidRDefault="00DB275F">
            <w:pPr>
              <w:spacing w:after="120" w:line="360" w:lineRule="auto"/>
              <w:rPr>
                <w:rFonts w:ascii="Arial" w:eastAsia="Arial" w:hAnsi="Arial" w:cs="Arial"/>
                <w:color w:val="010000"/>
                <w:sz w:val="20"/>
                <w:szCs w:val="20"/>
              </w:rPr>
            </w:pPr>
          </w:p>
        </w:tc>
      </w:tr>
    </w:tbl>
    <w:p w14:paraId="3A62CFD6" w14:textId="77777777" w:rsidR="00DB275F" w:rsidRDefault="008F4E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which:</w:t>
      </w:r>
    </w:p>
    <w:p w14:paraId="7BCC0926" w14:textId="77777777" w:rsidR="00DB275F" w:rsidRDefault="008F4EF3" w:rsidP="00A37F3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 2022, member companies will pay dividends </w:t>
      </w:r>
      <w:bookmarkStart w:id="0" w:name="_GoBack"/>
      <w:r>
        <w:rPr>
          <w:rFonts w:ascii="Arial" w:hAnsi="Arial"/>
          <w:color w:val="010000"/>
          <w:sz w:val="20"/>
        </w:rPr>
        <w:t>to the Group with the amount of VND 1,895,533,218,000. In 2023, member companies need to prioritize resources for business activities and project implementation, so they will not temporarily distribute profits to the Holding Company.</w:t>
      </w:r>
    </w:p>
    <w:p w14:paraId="432D4422" w14:textId="6B6777B3" w:rsidR="00DB275F" w:rsidRPr="008F4EF3" w:rsidRDefault="008F4EF3" w:rsidP="00A37F32">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8F4EF3">
        <w:rPr>
          <w:rFonts w:ascii="Arial" w:hAnsi="Arial"/>
          <w:color w:val="010000"/>
          <w:sz w:val="20"/>
        </w:rPr>
        <w:t xml:space="preserve">In 2022, </w:t>
      </w:r>
      <w:proofErr w:type="spellStart"/>
      <w:r w:rsidRPr="008F4EF3">
        <w:rPr>
          <w:rFonts w:ascii="Arial" w:hAnsi="Arial"/>
          <w:color w:val="010000"/>
          <w:sz w:val="20"/>
        </w:rPr>
        <w:t>Novaland</w:t>
      </w:r>
      <w:proofErr w:type="spellEnd"/>
      <w:r w:rsidRPr="008F4EF3">
        <w:rPr>
          <w:rFonts w:ascii="Arial" w:hAnsi="Arial"/>
          <w:color w:val="010000"/>
          <w:sz w:val="20"/>
        </w:rPr>
        <w:t xml:space="preserve"> has capital transfer transactions at </w:t>
      </w:r>
      <w:proofErr w:type="spellStart"/>
      <w:r w:rsidRPr="008F4EF3">
        <w:rPr>
          <w:rFonts w:ascii="Arial" w:hAnsi="Arial"/>
          <w:color w:val="010000"/>
          <w:sz w:val="20"/>
        </w:rPr>
        <w:t>Khanh</w:t>
      </w:r>
      <w:proofErr w:type="spellEnd"/>
      <w:r w:rsidRPr="008F4EF3">
        <w:rPr>
          <w:rFonts w:ascii="Arial" w:hAnsi="Arial"/>
          <w:color w:val="010000"/>
          <w:sz w:val="20"/>
        </w:rPr>
        <w:t xml:space="preserve"> </w:t>
      </w:r>
      <w:proofErr w:type="gramStart"/>
      <w:r w:rsidRPr="008F4EF3">
        <w:rPr>
          <w:rFonts w:ascii="Arial" w:hAnsi="Arial"/>
          <w:color w:val="010000"/>
          <w:sz w:val="20"/>
        </w:rPr>
        <w:t>An</w:t>
      </w:r>
      <w:proofErr w:type="gramEnd"/>
      <w:r w:rsidRPr="008F4EF3">
        <w:rPr>
          <w:rFonts w:ascii="Arial" w:hAnsi="Arial"/>
          <w:color w:val="010000"/>
          <w:sz w:val="20"/>
        </w:rPr>
        <w:t xml:space="preserve"> Investment and Development Real Estate Company Limited, Sai </w:t>
      </w:r>
      <w:proofErr w:type="spellStart"/>
      <w:r w:rsidRPr="008F4EF3">
        <w:rPr>
          <w:rFonts w:ascii="Arial" w:hAnsi="Arial"/>
          <w:color w:val="010000"/>
          <w:sz w:val="20"/>
        </w:rPr>
        <w:t>Gon</w:t>
      </w:r>
      <w:proofErr w:type="spellEnd"/>
      <w:r w:rsidRPr="008F4EF3">
        <w:rPr>
          <w:rFonts w:ascii="Arial" w:hAnsi="Arial"/>
          <w:color w:val="010000"/>
          <w:sz w:val="20"/>
        </w:rPr>
        <w:t xml:space="preserve"> Housing and Infrastructure Investment Development Company Limited and Thanh </w:t>
      </w:r>
      <w:proofErr w:type="spellStart"/>
      <w:r w:rsidRPr="008F4EF3">
        <w:rPr>
          <w:rFonts w:ascii="Arial" w:hAnsi="Arial"/>
          <w:color w:val="010000"/>
          <w:sz w:val="20"/>
        </w:rPr>
        <w:t>Nhon</w:t>
      </w:r>
      <w:proofErr w:type="spellEnd"/>
      <w:r w:rsidRPr="008F4EF3">
        <w:rPr>
          <w:rFonts w:ascii="Arial" w:hAnsi="Arial"/>
          <w:color w:val="010000"/>
          <w:sz w:val="20"/>
        </w:rPr>
        <w:t xml:space="preserve"> Investment Real Estate Company Limited. In 2023, the Group does not have any capital transfer transactions. All of these transactions are fully disclosed according to current regulations.</w:t>
      </w:r>
      <w:bookmarkEnd w:id="0"/>
    </w:p>
    <w:sectPr w:rsidR="00DB275F" w:rsidRPr="008F4EF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5612"/>
    <w:multiLevelType w:val="multilevel"/>
    <w:tmpl w:val="872C3A1C"/>
    <w:lvl w:ilvl="0">
      <w:start w:val="1"/>
      <w:numFmt w:val="lowerRoman"/>
      <w:lvlText w:val="(%1)"/>
      <w:lvlJc w:val="left"/>
      <w:pPr>
        <w:ind w:left="0" w:firstLine="0"/>
      </w:pPr>
      <w:rPr>
        <w:rFonts w:ascii="Arial" w:eastAsia="Arial" w:hAnsi="Arial" w:cs="Arial"/>
        <w:b w:val="0"/>
        <w:i w:val="0"/>
        <w:smallCaps w:val="0"/>
        <w:strike w:val="0"/>
        <w:color w:val="3236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B563CFB"/>
    <w:multiLevelType w:val="multilevel"/>
    <w:tmpl w:val="58D42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5F"/>
    <w:rsid w:val="008F4EF3"/>
    <w:rsid w:val="00A37F32"/>
    <w:rsid w:val="00DB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9DCE"/>
  <w15:docId w15:val="{F4553248-D6CF-4988-B6AE-5AB72C3E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2363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2363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color w:val="323637"/>
    </w:rPr>
  </w:style>
  <w:style w:type="paragraph" w:customStyle="1" w:styleId="Tiu10">
    <w:name w:val="Tiêu đề #1"/>
    <w:basedOn w:val="Normal"/>
    <w:link w:val="Tiu1"/>
    <w:pPr>
      <w:spacing w:line="247" w:lineRule="auto"/>
      <w:outlineLvl w:val="0"/>
    </w:pPr>
    <w:rPr>
      <w:rFonts w:ascii="Times New Roman" w:eastAsia="Times New Roman" w:hAnsi="Times New Roman" w:cs="Times New Roman"/>
      <w:b/>
      <w:bCs/>
    </w:rPr>
  </w:style>
  <w:style w:type="paragraph" w:customStyle="1" w:styleId="Khc0">
    <w:name w:val="Khác"/>
    <w:basedOn w:val="Normal"/>
    <w:link w:val="Khc"/>
    <w:pPr>
      <w:spacing w:line="262" w:lineRule="auto"/>
    </w:pPr>
    <w:rPr>
      <w:rFonts w:ascii="Times New Roman" w:eastAsia="Times New Roman" w:hAnsi="Times New Roman" w:cs="Times New Roman"/>
      <w:color w:val="323637"/>
    </w:rPr>
  </w:style>
  <w:style w:type="paragraph" w:customStyle="1" w:styleId="Chthchbng0">
    <w:name w:val="Chú thích bảng"/>
    <w:basedOn w:val="Normal"/>
    <w:link w:val="Chthchbng"/>
    <w:pPr>
      <w:spacing w:line="266" w:lineRule="auto"/>
    </w:pPr>
    <w:rPr>
      <w:rFonts w:ascii="Times New Roman" w:eastAsia="Times New Roman" w:hAnsi="Times New Roman" w:cs="Times New Roman"/>
    </w:rPr>
  </w:style>
  <w:style w:type="paragraph" w:customStyle="1" w:styleId="Vnbnnidung30">
    <w:name w:val="Văn bản nội dung (3)"/>
    <w:basedOn w:val="Normal"/>
    <w:link w:val="Vnbnnidung3"/>
    <w:pPr>
      <w:spacing w:line="295" w:lineRule="auto"/>
    </w:pPr>
    <w:rPr>
      <w:rFonts w:ascii="Arial" w:eastAsia="Arial" w:hAnsi="Arial" w:cs="Arial"/>
      <w:sz w:val="20"/>
      <w:szCs w:val="20"/>
    </w:rPr>
  </w:style>
  <w:style w:type="paragraph" w:customStyle="1" w:styleId="Vnbnnidung40">
    <w:name w:val="Văn bản nội dung (4)"/>
    <w:basedOn w:val="Normal"/>
    <w:link w:val="Vnbnnidung4"/>
    <w:rPr>
      <w:rFonts w:ascii="Arial" w:eastAsia="Arial" w:hAnsi="Arial" w:cs="Arial"/>
      <w:sz w:val="28"/>
      <w:szCs w:val="28"/>
    </w:rPr>
  </w:style>
  <w:style w:type="paragraph" w:customStyle="1" w:styleId="Vnbnnidung20">
    <w:name w:val="Văn bản nội dung (2)"/>
    <w:basedOn w:val="Normal"/>
    <w:link w:val="Vnbnnidung2"/>
    <w:pPr>
      <w:spacing w:line="276" w:lineRule="auto"/>
      <w:ind w:left="1060"/>
    </w:pPr>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Zkmw4NiX4L9quJ/pybd1pz79A==">CgMxLjA4AHIhMWdoSVFmQUpkZHNaUnFmR1I2akNpNUpwUGZTd2xreUxv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2024-04-03T06:33:00Z</dcterms:created>
  <dcterms:modified xsi:type="dcterms:W3CDTF">2024-04-04T03:47:00Z</dcterms:modified>
</cp:coreProperties>
</file>