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F9E4C" w14:textId="77777777" w:rsidR="003B5F55" w:rsidRPr="006A0387" w:rsidRDefault="006A0387" w:rsidP="006A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 w:rsidRPr="006A0387">
        <w:rPr>
          <w:rFonts w:ascii="Arial" w:hAnsi="Arial" w:cs="Arial"/>
          <w:b/>
          <w:color w:val="010000"/>
          <w:sz w:val="20"/>
        </w:rPr>
        <w:t>PBC</w:t>
      </w:r>
      <w:proofErr w:type="spellEnd"/>
      <w:r w:rsidRPr="006A0387">
        <w:rPr>
          <w:rFonts w:ascii="Arial" w:hAnsi="Arial" w:cs="Arial"/>
          <w:b/>
          <w:color w:val="010000"/>
          <w:sz w:val="20"/>
        </w:rPr>
        <w:t>: Explaining business results in 2023</w:t>
      </w:r>
    </w:p>
    <w:p w14:paraId="7E38D0ED" w14:textId="77777777" w:rsidR="003B5F55" w:rsidRPr="006A0387" w:rsidRDefault="006A0387" w:rsidP="006A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 xml:space="preserve">On March 29, 2024, </w:t>
      </w:r>
      <w:proofErr w:type="spellStart"/>
      <w:r w:rsidRPr="006A0387">
        <w:rPr>
          <w:rFonts w:ascii="Arial" w:hAnsi="Arial" w:cs="Arial"/>
          <w:color w:val="010000"/>
          <w:sz w:val="20"/>
        </w:rPr>
        <w:t>Pharbaco</w:t>
      </w:r>
      <w:proofErr w:type="spellEnd"/>
      <w:r w:rsidRPr="006A0387">
        <w:rPr>
          <w:rFonts w:ascii="Arial" w:hAnsi="Arial" w:cs="Arial"/>
          <w:color w:val="010000"/>
          <w:sz w:val="20"/>
        </w:rPr>
        <w:t xml:space="preserve"> Central Pharmaceutical Joint Stock Company </w:t>
      </w:r>
      <w:proofErr w:type="spellStart"/>
      <w:r w:rsidRPr="006A0387">
        <w:rPr>
          <w:rFonts w:ascii="Arial" w:hAnsi="Arial" w:cs="Arial"/>
          <w:color w:val="010000"/>
          <w:sz w:val="20"/>
        </w:rPr>
        <w:t>No.1</w:t>
      </w:r>
      <w:proofErr w:type="spellEnd"/>
      <w:r w:rsidRPr="006A0387">
        <w:rPr>
          <w:rFonts w:ascii="Arial" w:hAnsi="Arial" w:cs="Arial"/>
          <w:color w:val="010000"/>
          <w:sz w:val="20"/>
        </w:rPr>
        <w:t xml:space="preserve"> announced Official Dispatch No. 251/CV-</w:t>
      </w:r>
      <w:proofErr w:type="spellStart"/>
      <w:r w:rsidRPr="006A0387">
        <w:rPr>
          <w:rFonts w:ascii="Arial" w:hAnsi="Arial" w:cs="Arial"/>
          <w:color w:val="010000"/>
          <w:sz w:val="20"/>
        </w:rPr>
        <w:t>HDQT</w:t>
      </w:r>
      <w:proofErr w:type="spellEnd"/>
      <w:r w:rsidRPr="006A0387">
        <w:rPr>
          <w:rFonts w:ascii="Arial" w:hAnsi="Arial" w:cs="Arial"/>
          <w:color w:val="010000"/>
          <w:sz w:val="20"/>
        </w:rPr>
        <w:t xml:space="preserve"> on explaining business results in 2023 as follows:</w:t>
      </w:r>
    </w:p>
    <w:p w14:paraId="6BC09C9D" w14:textId="77777777" w:rsidR="003B5F55" w:rsidRPr="006A0387" w:rsidRDefault="006A0387" w:rsidP="006A038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>Figures of the business results in the Audited Separate Financial Statements 2023 and 2022:</w:t>
      </w:r>
    </w:p>
    <w:p w14:paraId="57452394" w14:textId="77777777" w:rsidR="003B5F55" w:rsidRPr="006A0387" w:rsidRDefault="006A0387" w:rsidP="006A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 xml:space="preserve">Unit: </w:t>
      </w:r>
      <w:proofErr w:type="spellStart"/>
      <w:r w:rsidRPr="006A0387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570"/>
        <w:gridCol w:w="2047"/>
        <w:gridCol w:w="1776"/>
        <w:gridCol w:w="1823"/>
        <w:gridCol w:w="1757"/>
        <w:gridCol w:w="1044"/>
      </w:tblGrid>
      <w:tr w:rsidR="003B5F55" w:rsidRPr="006A0387" w14:paraId="3AC33EBC" w14:textId="77777777" w:rsidTr="006A0387"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2B80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A1D5C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53D31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In 2023 after audit</w:t>
            </w:r>
          </w:p>
        </w:tc>
        <w:tc>
          <w:tcPr>
            <w:tcW w:w="10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97ACA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In 2022 after audit</w:t>
            </w:r>
          </w:p>
        </w:tc>
        <w:tc>
          <w:tcPr>
            <w:tcW w:w="15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83FC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3B5F55" w:rsidRPr="006A0387" w14:paraId="6EE51700" w14:textId="77777777" w:rsidTr="006A0387"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A87CA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833E4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B6DB3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C2486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200DF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853D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 xml:space="preserve">% </w:t>
            </w:r>
          </w:p>
        </w:tc>
      </w:tr>
      <w:tr w:rsidR="003B5F55" w:rsidRPr="006A0387" w14:paraId="5FF9CBFF" w14:textId="77777777" w:rsidTr="006A0387">
        <w:tc>
          <w:tcPr>
            <w:tcW w:w="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0482B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D8C7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35C59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1,340,032,756,386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A7A01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1,057,010,293,731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750A0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283,022,462,655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D094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26.8%</w:t>
            </w:r>
          </w:p>
        </w:tc>
      </w:tr>
      <w:tr w:rsidR="003B5F55" w:rsidRPr="006A0387" w14:paraId="36249215" w14:textId="77777777" w:rsidTr="006A0387">
        <w:tc>
          <w:tcPr>
            <w:tcW w:w="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3E25C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FAC6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5C21B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1,109,245,779,220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48C1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821,573,652,432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EC849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287,672,126,788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67D5F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35.0%</w:t>
            </w:r>
          </w:p>
        </w:tc>
      </w:tr>
      <w:tr w:rsidR="003B5F55" w:rsidRPr="006A0387" w14:paraId="728A4490" w14:textId="77777777" w:rsidTr="006A0387">
        <w:tc>
          <w:tcPr>
            <w:tcW w:w="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51109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B653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65B0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230,786,977,166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FCF6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235,436,641,299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549EF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(4,649,664,133)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23EA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-2.0%</w:t>
            </w:r>
          </w:p>
        </w:tc>
      </w:tr>
      <w:tr w:rsidR="003B5F55" w:rsidRPr="006A0387" w14:paraId="00C35A21" w14:textId="77777777" w:rsidTr="006A0387">
        <w:tc>
          <w:tcPr>
            <w:tcW w:w="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5357C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5C027" w14:textId="3A003B3A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Financial operating revenue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99C91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6,515,032,315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83F0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4,819,300,844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65C3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1,695,731,471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C62B3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35.2%</w:t>
            </w:r>
          </w:p>
        </w:tc>
      </w:tr>
      <w:tr w:rsidR="003B5F55" w:rsidRPr="006A0387" w14:paraId="7AB0D04F" w14:textId="77777777" w:rsidTr="006A0387">
        <w:tc>
          <w:tcPr>
            <w:tcW w:w="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5431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B651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Financial expenses: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19D8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46,197,425,141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47DF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37,581,591,849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20CC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8,615,833,292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02AA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22.9%</w:t>
            </w:r>
          </w:p>
        </w:tc>
      </w:tr>
      <w:tr w:rsidR="003B5F55" w:rsidRPr="006A0387" w14:paraId="4FF939B3" w14:textId="77777777" w:rsidTr="006A0387">
        <w:tc>
          <w:tcPr>
            <w:tcW w:w="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454C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4DCF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Selling expenses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DA9A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6,001,422,926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22EC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6,097,006,420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A651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(95,583,494)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4C513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-1.6%</w:t>
            </w:r>
          </w:p>
        </w:tc>
      </w:tr>
      <w:tr w:rsidR="003B5F55" w:rsidRPr="006A0387" w14:paraId="5815DA4B" w14:textId="77777777" w:rsidTr="006A0387">
        <w:tc>
          <w:tcPr>
            <w:tcW w:w="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7730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495B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General and administrative expenses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0032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133,970,263,042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5535E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117,023,939,877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C2E70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16,946,323,165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E711B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14.5%</w:t>
            </w:r>
          </w:p>
        </w:tc>
      </w:tr>
      <w:tr w:rsidR="003B5F55" w:rsidRPr="006A0387" w14:paraId="7B041737" w14:textId="77777777" w:rsidTr="006A0387">
        <w:tc>
          <w:tcPr>
            <w:tcW w:w="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4660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A30BE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CD6F1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(1,436,482,743)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EC760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(2,685,867,572)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36FF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1,249,384,829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B122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46.5%</w:t>
            </w:r>
          </w:p>
        </w:tc>
      </w:tr>
      <w:tr w:rsidR="003B5F55" w:rsidRPr="006A0387" w14:paraId="6423513B" w14:textId="77777777" w:rsidTr="006A0387">
        <w:tc>
          <w:tcPr>
            <w:tcW w:w="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B89E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60C3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F03F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10,327,547,880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7720C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16,700,167,110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EF7FF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(6,372,619,230)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CCFF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-38.2%</w:t>
            </w:r>
          </w:p>
        </w:tc>
      </w:tr>
      <w:tr w:rsidR="003B5F55" w:rsidRPr="006A0387" w14:paraId="17C58806" w14:textId="77777777" w:rsidTr="006A0387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0331A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5512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 xml:space="preserve">Profit after tax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6FD70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39,368,867,749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59B5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60,167,369,315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5106E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(20,798,501,566)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40BC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-34.6%</w:t>
            </w:r>
          </w:p>
        </w:tc>
      </w:tr>
    </w:tbl>
    <w:p w14:paraId="10000BC6" w14:textId="77777777" w:rsidR="003B5F55" w:rsidRPr="006A0387" w:rsidRDefault="006A0387" w:rsidP="006A0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>Figures of business results in the Audited Consolidated Financial Statements 2023 and 2022:</w:t>
      </w:r>
    </w:p>
    <w:p w14:paraId="6CD06A3E" w14:textId="77777777" w:rsidR="003B5F55" w:rsidRPr="006A0387" w:rsidRDefault="006A0387" w:rsidP="006A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 xml:space="preserve">Unit: </w:t>
      </w:r>
      <w:proofErr w:type="spellStart"/>
      <w:r w:rsidRPr="006A0387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574"/>
        <w:gridCol w:w="1856"/>
        <w:gridCol w:w="1895"/>
        <w:gridCol w:w="2058"/>
        <w:gridCol w:w="1740"/>
        <w:gridCol w:w="894"/>
      </w:tblGrid>
      <w:tr w:rsidR="003B5F55" w:rsidRPr="006A0387" w14:paraId="7BBA38AC" w14:textId="77777777" w:rsidTr="006A0387"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8B90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ECF4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1D3AA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In 2023 after audit</w:t>
            </w:r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225E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In 2022 after audit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5069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3B5F55" w:rsidRPr="006A0387" w14:paraId="652A5CDF" w14:textId="77777777" w:rsidTr="006A0387"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D27AE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8082B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E17D0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4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45743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470DF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AD21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3B5F55" w:rsidRPr="006A0387" w14:paraId="17F02F56" w14:textId="77777777" w:rsidTr="006A0387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9D0C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AF5C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38F7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1,340,032,756,386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3763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1,057,010,293,731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BC9DE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283,022,462,655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C1CF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26.8%</w:t>
            </w:r>
          </w:p>
        </w:tc>
      </w:tr>
      <w:tr w:rsidR="003B5F55" w:rsidRPr="006A0387" w14:paraId="5F5E9D32" w14:textId="77777777" w:rsidTr="006A0387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4B68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B536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B61B9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1,109,245,779,220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0BECF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821,573,652,432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50BC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287,672,126,788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19F7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35.0%</w:t>
            </w:r>
          </w:p>
        </w:tc>
      </w:tr>
      <w:tr w:rsidR="003B5F55" w:rsidRPr="006A0387" w14:paraId="0B020C59" w14:textId="77777777" w:rsidTr="006A0387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17DA0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D43A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875E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230,786,977,166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F9613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235,436,641,299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D467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(4,649,664,133)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55531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-2.0%</w:t>
            </w:r>
          </w:p>
        </w:tc>
      </w:tr>
      <w:tr w:rsidR="003B5F55" w:rsidRPr="006A0387" w14:paraId="59B79351" w14:textId="77777777" w:rsidTr="006A0387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07A1C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984D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967C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6,515,043,180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ED79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4,819,303,287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1B2B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1,695,739,893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10D49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35.2%</w:t>
            </w:r>
          </w:p>
        </w:tc>
      </w:tr>
      <w:tr w:rsidR="003B5F55" w:rsidRPr="006A0387" w14:paraId="42D6C742" w14:textId="77777777" w:rsidTr="006A0387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B768B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FB6D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567BC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46,183,731,165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9822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37,526,716,377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2A00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8,657,014,788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21D9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23.1%</w:t>
            </w:r>
          </w:p>
        </w:tc>
      </w:tr>
      <w:tr w:rsidR="003B5F55" w:rsidRPr="006A0387" w14:paraId="01736A50" w14:textId="77777777" w:rsidTr="006A0387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703CC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97443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Selling expenses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E0F4C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6,001,422,926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DB21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6,097,006,420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63A9B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(95,583,494)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317C3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-1.6%</w:t>
            </w:r>
          </w:p>
        </w:tc>
      </w:tr>
      <w:tr w:rsidR="003B5F55" w:rsidRPr="006A0387" w14:paraId="4901FA6B" w14:textId="77777777" w:rsidTr="006A0387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223B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0836A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General and administrative expenses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E425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133,988,532,542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3CC5C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117,043,656,827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3CD9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16,944,875,715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2467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14.5%</w:t>
            </w:r>
          </w:p>
          <w:p w14:paraId="10A5F057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B5F55" w:rsidRPr="006A0387" w14:paraId="6AD60297" w14:textId="77777777" w:rsidTr="006A0387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0B94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0D3E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E092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(1,436,482,743)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2EF6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(2,685,867,572)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6CCD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1,249,384,829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CEABB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46.5%</w:t>
            </w:r>
          </w:p>
        </w:tc>
      </w:tr>
      <w:tr w:rsidR="003B5F55" w:rsidRPr="006A0387" w14:paraId="23F9A90B" w14:textId="77777777" w:rsidTr="006A0387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E41F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52B73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08D4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10,327,547,880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8C6F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16,700,167,110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5DA5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(6,372,619,230)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5B83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38.2%</w:t>
            </w:r>
          </w:p>
        </w:tc>
      </w:tr>
      <w:tr w:rsidR="003B5F55" w:rsidRPr="006A0387" w14:paraId="79BB718A" w14:textId="77777777" w:rsidTr="006A0387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6DD4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3647A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 xml:space="preserve">Profit after tax 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26FF0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39,361,564,295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D3F4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60,191,555,186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24323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(20,829,990,891)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6919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-34.6%</w:t>
            </w:r>
          </w:p>
        </w:tc>
      </w:tr>
    </w:tbl>
    <w:p w14:paraId="26FFC3BB" w14:textId="77777777" w:rsidR="003B5F55" w:rsidRPr="006A0387" w:rsidRDefault="006A0387" w:rsidP="006A038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>Figures of the business results in the Separate Financial Statements 2023 before and after audit:</w:t>
      </w:r>
    </w:p>
    <w:p w14:paraId="3D049581" w14:textId="77777777" w:rsidR="003B5F55" w:rsidRPr="006A0387" w:rsidRDefault="006A0387" w:rsidP="006A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 xml:space="preserve">Unit: </w:t>
      </w:r>
      <w:proofErr w:type="spellStart"/>
      <w:r w:rsidRPr="006A0387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1"/>
        <w:tblW w:w="5000" w:type="pct"/>
        <w:tblLook w:val="0000" w:firstRow="0" w:lastRow="0" w:firstColumn="0" w:lastColumn="0" w:noHBand="0" w:noVBand="0"/>
      </w:tblPr>
      <w:tblGrid>
        <w:gridCol w:w="605"/>
        <w:gridCol w:w="2090"/>
        <w:gridCol w:w="1755"/>
        <w:gridCol w:w="1850"/>
        <w:gridCol w:w="1832"/>
        <w:gridCol w:w="885"/>
      </w:tblGrid>
      <w:tr w:rsidR="003B5F55" w:rsidRPr="006A0387" w14:paraId="3DF6CD35" w14:textId="77777777" w:rsidTr="006A0387"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8550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294E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66383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In 2023 (after audit)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48863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In 2023 (before audit)</w:t>
            </w:r>
          </w:p>
        </w:tc>
        <w:tc>
          <w:tcPr>
            <w:tcW w:w="15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0F1BE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3B5F55" w:rsidRPr="006A0387" w14:paraId="6F868BAE" w14:textId="77777777" w:rsidTr="006A0387"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B3329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67B9E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1406E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1823F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E6CE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48E5F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3B5F55" w:rsidRPr="006A0387" w14:paraId="5CFDD3E8" w14:textId="77777777" w:rsidTr="006A0387">
        <w:tc>
          <w:tcPr>
            <w:tcW w:w="3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982C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A04BF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4FD09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46,197,425,141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C207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49,380,021,251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5E85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(3,182,596,110)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F488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-6.4%</w:t>
            </w:r>
          </w:p>
        </w:tc>
      </w:tr>
      <w:tr w:rsidR="003B5F55" w:rsidRPr="006A0387" w14:paraId="4BF377D9" w14:textId="77777777" w:rsidTr="006A0387">
        <w:tc>
          <w:tcPr>
            <w:tcW w:w="3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750F6" w14:textId="77777777" w:rsidR="003B5F55" w:rsidRPr="006A0387" w:rsidRDefault="003B5F55" w:rsidP="006A038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9B380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In which: Interest expense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80FF1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40,619,602,712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84D3E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43,815,892,798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8224F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(3,196,290,086)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9104E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-7.3%</w:t>
            </w:r>
          </w:p>
        </w:tc>
      </w:tr>
      <w:tr w:rsidR="003B5F55" w:rsidRPr="006A0387" w14:paraId="108EB3CE" w14:textId="77777777" w:rsidTr="006A0387">
        <w:tc>
          <w:tcPr>
            <w:tcW w:w="3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98EE1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B3FC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General and administrative expenses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AA0AA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133,970,263,042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27EC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113,685,585,667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5D2F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20,284,677,375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BE6B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17.8%</w:t>
            </w:r>
          </w:p>
        </w:tc>
      </w:tr>
      <w:tr w:rsidR="003B5F55" w:rsidRPr="006A0387" w14:paraId="41E02765" w14:textId="77777777" w:rsidTr="006A0387">
        <w:tc>
          <w:tcPr>
            <w:tcW w:w="3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4979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846B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D7933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10,327,547,880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F8580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13,826,342,940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14F9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(3,498,795,060)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7811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-25.3%</w:t>
            </w:r>
          </w:p>
        </w:tc>
      </w:tr>
      <w:tr w:rsidR="003B5F55" w:rsidRPr="006A0387" w14:paraId="7F91C659" w14:textId="77777777" w:rsidTr="006A0387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437F0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2E1C1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B94B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39,368,867,749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4DDA9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53,249,668,954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88A8A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(13,880,801,205)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7AA6B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-26.1%</w:t>
            </w:r>
          </w:p>
        </w:tc>
      </w:tr>
    </w:tbl>
    <w:p w14:paraId="167351B9" w14:textId="77777777" w:rsidR="003B5F55" w:rsidRPr="006A0387" w:rsidRDefault="006A0387" w:rsidP="006A038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>Figures of the business results in the Consolidated Financial Statements 2023 before and after audit:</w:t>
      </w:r>
    </w:p>
    <w:p w14:paraId="6112F6C1" w14:textId="77777777" w:rsidR="003B5F55" w:rsidRPr="006A0387" w:rsidRDefault="006A0387" w:rsidP="006A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 xml:space="preserve">Unit: </w:t>
      </w:r>
      <w:proofErr w:type="spellStart"/>
      <w:r w:rsidRPr="006A0387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2"/>
        <w:tblW w:w="5000" w:type="pct"/>
        <w:tblLook w:val="0000" w:firstRow="0" w:lastRow="0" w:firstColumn="0" w:lastColumn="0" w:noHBand="0" w:noVBand="0"/>
      </w:tblPr>
      <w:tblGrid>
        <w:gridCol w:w="599"/>
        <w:gridCol w:w="2090"/>
        <w:gridCol w:w="1758"/>
        <w:gridCol w:w="1843"/>
        <w:gridCol w:w="1845"/>
        <w:gridCol w:w="882"/>
      </w:tblGrid>
      <w:tr w:rsidR="003B5F55" w:rsidRPr="006A0387" w14:paraId="0EE6B66B" w14:textId="77777777" w:rsidTr="006A0387"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12E1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127DA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2C2B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In 2023 (after audit)</w:t>
            </w:r>
          </w:p>
        </w:tc>
        <w:tc>
          <w:tcPr>
            <w:tcW w:w="10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3DABC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In 2023 (before audit)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B67B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3B5F55" w:rsidRPr="006A0387" w14:paraId="7EBEF5E6" w14:textId="77777777" w:rsidTr="006A0387"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0DFAB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170D3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20FFE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C45BC" w14:textId="77777777" w:rsidR="003B5F55" w:rsidRPr="006A0387" w:rsidRDefault="003B5F55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C1B8F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A03C2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3B5F55" w:rsidRPr="006A0387" w14:paraId="263582F6" w14:textId="77777777" w:rsidTr="006A0387"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C833E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3EA1E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95FD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46,183,731,165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E4D89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49,380,021,251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174D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(3,196,290,086)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BF72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-6.5%</w:t>
            </w:r>
          </w:p>
        </w:tc>
      </w:tr>
      <w:tr w:rsidR="003B5F55" w:rsidRPr="006A0387" w14:paraId="422855C7" w14:textId="77777777" w:rsidTr="006A0387"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DF181" w14:textId="77777777" w:rsidR="003B5F55" w:rsidRPr="006A0387" w:rsidRDefault="003B5F55" w:rsidP="006A038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6CF6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In which: Interest expense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FB83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40,619,602,712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A5A30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43,815,892,798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2BF39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(3,196,290,086)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EDB1A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-7.3%</w:t>
            </w:r>
          </w:p>
        </w:tc>
      </w:tr>
      <w:tr w:rsidR="003B5F55" w:rsidRPr="006A0387" w14:paraId="5D67BD0F" w14:textId="77777777" w:rsidTr="006A0387"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F8B5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12620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General and administrative expenses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08931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133,988,532,542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C0879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113,703,855,167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DE47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20,284,677,375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2B99F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17.8%</w:t>
            </w:r>
          </w:p>
        </w:tc>
      </w:tr>
      <w:tr w:rsidR="003B5F55" w:rsidRPr="006A0387" w14:paraId="23B5DF91" w14:textId="77777777" w:rsidTr="006A0387"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CE06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9EE91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20305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10,327,547,880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AC88F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13,826,342,940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CE574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(3,498,795,060)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B3BE7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-25.3%</w:t>
            </w:r>
          </w:p>
        </w:tc>
      </w:tr>
      <w:tr w:rsidR="003B5F55" w:rsidRPr="006A0387" w14:paraId="373120C7" w14:textId="77777777" w:rsidTr="006A038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E7E91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A3FB1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 xml:space="preserve">Profit after tax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A39E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39,361,564,295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CFDA8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53,231,410,319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BF796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(13,869,846,024)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6225D" w14:textId="77777777" w:rsidR="003B5F55" w:rsidRPr="006A0387" w:rsidRDefault="006A0387" w:rsidP="006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0387">
              <w:rPr>
                <w:rFonts w:ascii="Arial" w:hAnsi="Arial" w:cs="Arial"/>
                <w:color w:val="010000"/>
                <w:sz w:val="20"/>
              </w:rPr>
              <w:t>-26.1%</w:t>
            </w:r>
          </w:p>
        </w:tc>
      </w:tr>
    </w:tbl>
    <w:p w14:paraId="72C347B5" w14:textId="77777777" w:rsidR="003B5F55" w:rsidRPr="006A0387" w:rsidRDefault="006A0387" w:rsidP="006A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>Profit after tax in the Audited Combined and Consolidated Financial Statements 2023 decreased compared to that in 2022 mainly due to:</w:t>
      </w:r>
    </w:p>
    <w:p w14:paraId="48A2EDA7" w14:textId="61B92D37" w:rsidR="003B5F55" w:rsidRPr="006A0387" w:rsidRDefault="006A0387" w:rsidP="006A0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 xml:space="preserve">Revenue from goods sales increased (26.8%) but cost of goods sold increased (35%) mainly because during the period the Company made provisions for devaluation of inventory for Kid test shipments with the amount of </w:t>
      </w:r>
      <w:proofErr w:type="spellStart"/>
      <w:r w:rsidRPr="006A0387">
        <w:rPr>
          <w:rFonts w:ascii="Arial" w:hAnsi="Arial" w:cs="Arial"/>
          <w:color w:val="010000"/>
          <w:sz w:val="20"/>
        </w:rPr>
        <w:t>VND</w:t>
      </w:r>
      <w:proofErr w:type="spellEnd"/>
      <w:r w:rsidRPr="006A0387">
        <w:rPr>
          <w:rFonts w:ascii="Arial" w:hAnsi="Arial" w:cs="Arial"/>
          <w:color w:val="010000"/>
          <w:sz w:val="20"/>
        </w:rPr>
        <w:t xml:space="preserve"> 7,765,333,333 causing a decrease in gross profit (2%) </w:t>
      </w:r>
    </w:p>
    <w:p w14:paraId="2D840619" w14:textId="77777777" w:rsidR="003B5F55" w:rsidRPr="006A0387" w:rsidRDefault="006A0387" w:rsidP="006A0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>Financial expenses increased by 22.9%, mainly interest expenses increased</w:t>
      </w:r>
    </w:p>
    <w:p w14:paraId="3CEAAC2C" w14:textId="77777777" w:rsidR="003B5F55" w:rsidRPr="006A0387" w:rsidRDefault="006A0387" w:rsidP="006A0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 xml:space="preserve">General and administrative expense increased because the Company made provision for bad receivable debts with the amount of </w:t>
      </w:r>
      <w:proofErr w:type="spellStart"/>
      <w:r w:rsidRPr="006A0387">
        <w:rPr>
          <w:rFonts w:ascii="Arial" w:hAnsi="Arial" w:cs="Arial"/>
          <w:color w:val="010000"/>
          <w:sz w:val="20"/>
        </w:rPr>
        <w:t>VND</w:t>
      </w:r>
      <w:proofErr w:type="spellEnd"/>
      <w:r w:rsidRPr="006A0387">
        <w:rPr>
          <w:rFonts w:ascii="Arial" w:hAnsi="Arial" w:cs="Arial"/>
          <w:color w:val="010000"/>
          <w:sz w:val="20"/>
        </w:rPr>
        <w:t xml:space="preserve"> 20,192,119,946.</w:t>
      </w:r>
    </w:p>
    <w:p w14:paraId="11DBEB94" w14:textId="500C2367" w:rsidR="003B5F55" w:rsidRPr="006A0387" w:rsidRDefault="006A0387" w:rsidP="006A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0387">
        <w:rPr>
          <w:rFonts w:ascii="Arial" w:hAnsi="Arial" w:cs="Arial"/>
          <w:color w:val="010000"/>
          <w:sz w:val="20"/>
        </w:rPr>
        <w:t>Profit after tax in the Audited Separate and Consolidated Financial Statements 2023 decreased compared to that in the unaudited Separate and Consolidated Financial Statements 2023, mainly due to: The Company made provision for bad receivable debts with t</w:t>
      </w:r>
      <w:r w:rsidR="00191EE6">
        <w:rPr>
          <w:rFonts w:ascii="Arial" w:hAnsi="Arial" w:cs="Arial"/>
          <w:color w:val="010000"/>
          <w:sz w:val="20"/>
        </w:rPr>
        <w:t xml:space="preserve">he amount of </w:t>
      </w:r>
      <w:proofErr w:type="spellStart"/>
      <w:r w:rsidR="00191EE6">
        <w:rPr>
          <w:rFonts w:ascii="Arial" w:hAnsi="Arial" w:cs="Arial"/>
          <w:color w:val="010000"/>
          <w:sz w:val="20"/>
        </w:rPr>
        <w:t>VND</w:t>
      </w:r>
      <w:proofErr w:type="spellEnd"/>
      <w:r w:rsidR="00191EE6">
        <w:rPr>
          <w:rFonts w:ascii="Arial" w:hAnsi="Arial" w:cs="Arial"/>
          <w:color w:val="010000"/>
          <w:sz w:val="20"/>
        </w:rPr>
        <w:t xml:space="preserve"> 20,192,119,946</w:t>
      </w:r>
      <w:bookmarkStart w:id="0" w:name="_GoBack"/>
      <w:bookmarkEnd w:id="0"/>
      <w:r w:rsidRPr="006A0387">
        <w:rPr>
          <w:rFonts w:ascii="Arial" w:hAnsi="Arial" w:cs="Arial"/>
          <w:color w:val="010000"/>
          <w:sz w:val="20"/>
        </w:rPr>
        <w:t xml:space="preserve"> according to the auditor’s opinion.</w:t>
      </w:r>
    </w:p>
    <w:sectPr w:rsidR="003B5F55" w:rsidRPr="006A0387" w:rsidSect="006A038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5DA1"/>
    <w:multiLevelType w:val="multilevel"/>
    <w:tmpl w:val="7F70685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C5A"/>
    <w:multiLevelType w:val="multilevel"/>
    <w:tmpl w:val="D0A2587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A46628"/>
    <w:multiLevelType w:val="multilevel"/>
    <w:tmpl w:val="CF46437A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55"/>
    <w:rsid w:val="00191EE6"/>
    <w:rsid w:val="003B5F55"/>
    <w:rsid w:val="006A0387"/>
    <w:rsid w:val="006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3A5D2"/>
  <w15:docId w15:val="{E72A18D5-E165-4B97-B0A8-295CA11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69" w:lineRule="auto"/>
      <w:ind w:left="1420" w:hanging="3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305" w:lineRule="auto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D2JV0qGtftihPY+RF39hY600Cg==">CgMxLjA4AHIhMTREYWlfYTNEcTJ5eDkzRW56RU9DY21tVW5VRnhjZkRy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3</cp:revision>
  <dcterms:created xsi:type="dcterms:W3CDTF">2024-04-05T04:12:00Z</dcterms:created>
  <dcterms:modified xsi:type="dcterms:W3CDTF">2024-04-05T04:12:00Z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95398d9ab74e25f7b32c4c51d37f8988829f23e383aecb99698ddafc03830982</vt:lpwstr>
  </property>
</Properties>
</file>