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46D70" w:rsidRPr="00C5472B" w:rsidRDefault="00C5472B" w:rsidP="00BB59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08"/>
          <w:tab w:val="left" w:pos="8818"/>
          <w:tab w:val="left" w:pos="968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5472B">
        <w:rPr>
          <w:rFonts w:ascii="Arial" w:hAnsi="Arial" w:cs="Arial"/>
          <w:b/>
          <w:color w:val="010000"/>
          <w:sz w:val="20"/>
        </w:rPr>
        <w:t>PBP: Board Resolution</w:t>
      </w:r>
    </w:p>
    <w:p w14:paraId="00000002" w14:textId="77777777" w:rsidR="00946D70" w:rsidRPr="00C5472B" w:rsidRDefault="00C5472B" w:rsidP="00BB59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08"/>
          <w:tab w:val="left" w:pos="8818"/>
          <w:tab w:val="left" w:pos="96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2B">
        <w:rPr>
          <w:rFonts w:ascii="Arial" w:hAnsi="Arial" w:cs="Arial"/>
          <w:color w:val="010000"/>
          <w:sz w:val="20"/>
        </w:rPr>
        <w:t xml:space="preserve">On April 1, 2024, </w:t>
      </w:r>
      <w:proofErr w:type="spellStart"/>
      <w:r w:rsidRPr="00C5472B">
        <w:rPr>
          <w:rFonts w:ascii="Arial" w:hAnsi="Arial" w:cs="Arial"/>
          <w:color w:val="010000"/>
          <w:sz w:val="20"/>
        </w:rPr>
        <w:t>PetroVietnam</w:t>
      </w:r>
      <w:proofErr w:type="spellEnd"/>
      <w:r w:rsidRPr="00C5472B">
        <w:rPr>
          <w:rFonts w:ascii="Arial" w:hAnsi="Arial" w:cs="Arial"/>
          <w:color w:val="010000"/>
          <w:sz w:val="20"/>
        </w:rPr>
        <w:t xml:space="preserve"> Packaging Joint Stock Company announced Resolution No. 04/NQ-PPC-HD on organizing and extending the Annual General Meeting of Shareholders 2024 as follows:</w:t>
      </w:r>
    </w:p>
    <w:p w14:paraId="00000003" w14:textId="77777777" w:rsidR="00946D70" w:rsidRPr="00C5472B" w:rsidRDefault="00C5472B" w:rsidP="00BB59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2B">
        <w:rPr>
          <w:rFonts w:ascii="Arial" w:hAnsi="Arial" w:cs="Arial"/>
          <w:color w:val="010000"/>
          <w:sz w:val="20"/>
        </w:rPr>
        <w:t>‎‎Article 1. Approve the record date for the list of shareholders entitled</w:t>
      </w:r>
      <w:bookmarkStart w:id="0" w:name="_GoBack"/>
      <w:bookmarkEnd w:id="0"/>
      <w:r w:rsidRPr="00C5472B">
        <w:rPr>
          <w:rFonts w:ascii="Arial" w:hAnsi="Arial" w:cs="Arial"/>
          <w:color w:val="010000"/>
          <w:sz w:val="20"/>
        </w:rPr>
        <w:t xml:space="preserve"> to attend the Annual General Meeting of Shareholders 2024 is April 22, 2024.</w:t>
      </w:r>
    </w:p>
    <w:p w14:paraId="00000004" w14:textId="77777777" w:rsidR="00946D70" w:rsidRPr="00C5472B" w:rsidRDefault="00C5472B" w:rsidP="00BB59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2B">
        <w:rPr>
          <w:rFonts w:ascii="Arial" w:hAnsi="Arial" w:cs="Arial"/>
          <w:color w:val="010000"/>
          <w:sz w:val="20"/>
        </w:rPr>
        <w:t>‎‎Article 2. Approve the organization time of the Annual General Meeting of Shareholders 2024 as follows:</w:t>
      </w:r>
    </w:p>
    <w:p w14:paraId="00000005" w14:textId="77777777" w:rsidR="00946D70" w:rsidRPr="00C5472B" w:rsidRDefault="00C5472B" w:rsidP="00BB59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2B">
        <w:rPr>
          <w:rFonts w:ascii="Arial" w:hAnsi="Arial" w:cs="Arial"/>
          <w:color w:val="010000"/>
          <w:sz w:val="20"/>
        </w:rPr>
        <w:t>Expected meeting time: From May 20 - May 24, 2024.</w:t>
      </w:r>
    </w:p>
    <w:p w14:paraId="00000006" w14:textId="77777777" w:rsidR="00946D70" w:rsidRPr="00C5472B" w:rsidRDefault="00C5472B" w:rsidP="00BB59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2B">
        <w:rPr>
          <w:rFonts w:ascii="Arial" w:hAnsi="Arial" w:cs="Arial"/>
          <w:color w:val="010000"/>
          <w:sz w:val="20"/>
        </w:rPr>
        <w:t>Reason for extension: To allow the Company time to prepare contents to submit to the General Meeting of Shareholders according to regulations.</w:t>
      </w:r>
    </w:p>
    <w:p w14:paraId="00000007" w14:textId="77777777" w:rsidR="00946D70" w:rsidRPr="00C5472B" w:rsidRDefault="00C5472B" w:rsidP="00BB59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2B">
        <w:rPr>
          <w:rFonts w:ascii="Arial" w:hAnsi="Arial" w:cs="Arial"/>
          <w:color w:val="010000"/>
          <w:sz w:val="20"/>
        </w:rPr>
        <w:t>‎‎Article 3. The basic content approved at the Annual General Meeting of Shareholders 2024 is as follows:</w:t>
      </w:r>
    </w:p>
    <w:p w14:paraId="00000008" w14:textId="77777777" w:rsidR="00946D70" w:rsidRPr="00C5472B" w:rsidRDefault="00C5472B" w:rsidP="00BB5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2B">
        <w:rPr>
          <w:rFonts w:ascii="Arial" w:hAnsi="Arial" w:cs="Arial"/>
          <w:color w:val="010000"/>
          <w:sz w:val="20"/>
        </w:rPr>
        <w:t>Report of the Board of Directors on the governance and performance of the Board of Directors and each member in 2023;</w:t>
      </w:r>
    </w:p>
    <w:p w14:paraId="00000009" w14:textId="66E76B60" w:rsidR="00946D70" w:rsidRPr="00C5472B" w:rsidRDefault="00C5472B" w:rsidP="00BB5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2B">
        <w:rPr>
          <w:rFonts w:ascii="Arial" w:hAnsi="Arial" w:cs="Arial"/>
          <w:color w:val="010000"/>
          <w:sz w:val="20"/>
        </w:rPr>
        <w:t>Report of the Supervisory Board on the Company's business results, the performance of the Board of Directors and Director in 2023; Self-assessment report on the performance of the Supervisory Board and each supervisor in 2023; operating plan 2024 of the Supervisory Board; Proposal to select an audit company for the Financial Statements 2024.</w:t>
      </w:r>
    </w:p>
    <w:p w14:paraId="0000000A" w14:textId="77777777" w:rsidR="00946D70" w:rsidRPr="00C5472B" w:rsidRDefault="00C5472B" w:rsidP="00BB5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2B">
        <w:rPr>
          <w:rFonts w:ascii="Arial" w:hAnsi="Arial" w:cs="Arial"/>
          <w:color w:val="010000"/>
          <w:sz w:val="20"/>
        </w:rPr>
        <w:t>Report on Production and Business results in 2023 and Production and business plan in 2024 of the Manager of the Company.</w:t>
      </w:r>
    </w:p>
    <w:p w14:paraId="0000000B" w14:textId="7A92C28B" w:rsidR="00946D70" w:rsidRPr="00C5472B" w:rsidRDefault="00C5472B" w:rsidP="00BB5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2B">
        <w:rPr>
          <w:rFonts w:ascii="Arial" w:hAnsi="Arial" w:cs="Arial"/>
          <w:color w:val="010000"/>
          <w:sz w:val="20"/>
        </w:rPr>
        <w:t>Proposal on approving the Audited Financial Statements 2023.</w:t>
      </w:r>
    </w:p>
    <w:p w14:paraId="0000000C" w14:textId="48406D00" w:rsidR="00946D70" w:rsidRPr="00C5472B" w:rsidRDefault="00C5472B" w:rsidP="00BB5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2B">
        <w:rPr>
          <w:rFonts w:ascii="Arial" w:hAnsi="Arial" w:cs="Arial"/>
          <w:color w:val="010000"/>
          <w:sz w:val="20"/>
        </w:rPr>
        <w:t>Proposal on approval of the Company's 2024 Production and Business Plan.</w:t>
      </w:r>
    </w:p>
    <w:p w14:paraId="0000000D" w14:textId="73F18139" w:rsidR="00946D70" w:rsidRPr="00C5472B" w:rsidRDefault="00C5472B" w:rsidP="00BB5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2B">
        <w:rPr>
          <w:rFonts w:ascii="Arial" w:hAnsi="Arial" w:cs="Arial"/>
          <w:color w:val="010000"/>
          <w:sz w:val="20"/>
        </w:rPr>
        <w:t>Proposal on profit distribution and fund appropriation for 2023; Plan for profit distribution and appropriation to funds in 2024.</w:t>
      </w:r>
    </w:p>
    <w:p w14:paraId="0000000E" w14:textId="0BF365AC" w:rsidR="00946D70" w:rsidRPr="00C5472B" w:rsidRDefault="00C5472B" w:rsidP="00BB5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2B">
        <w:rPr>
          <w:rFonts w:ascii="Arial" w:hAnsi="Arial" w:cs="Arial"/>
          <w:color w:val="010000"/>
          <w:sz w:val="20"/>
        </w:rPr>
        <w:t>Proposal on</w:t>
      </w:r>
      <w:r>
        <w:rPr>
          <w:rFonts w:ascii="Arial" w:hAnsi="Arial" w:cs="Arial"/>
          <w:color w:val="010000"/>
          <w:sz w:val="20"/>
        </w:rPr>
        <w:t xml:space="preserve"> </w:t>
      </w:r>
      <w:r w:rsidRPr="00C5472B">
        <w:rPr>
          <w:rFonts w:ascii="Arial" w:hAnsi="Arial" w:cs="Arial"/>
          <w:color w:val="010000"/>
          <w:sz w:val="20"/>
        </w:rPr>
        <w:t>settlement of remuneration for members. Board of Directors and Supervisory Board in 2023; Remuneration plan for the Board of Directors and Supervisory Board in 2024.</w:t>
      </w:r>
    </w:p>
    <w:p w14:paraId="0000000F" w14:textId="4833F2B8" w:rsidR="00946D70" w:rsidRPr="00C5472B" w:rsidRDefault="00C5472B" w:rsidP="00BB5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2B">
        <w:rPr>
          <w:rFonts w:ascii="Arial" w:hAnsi="Arial" w:cs="Arial"/>
          <w:color w:val="010000"/>
          <w:sz w:val="20"/>
        </w:rPr>
        <w:t>Proposal on approving the main contents of contracts and transactions between PPC and PVCFC.</w:t>
      </w:r>
    </w:p>
    <w:p w14:paraId="00000010" w14:textId="77777777" w:rsidR="00946D70" w:rsidRPr="00C5472B" w:rsidRDefault="00C5472B" w:rsidP="00BB5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2B">
        <w:rPr>
          <w:rFonts w:ascii="Arial" w:hAnsi="Arial" w:cs="Arial"/>
          <w:color w:val="010000"/>
          <w:sz w:val="20"/>
        </w:rPr>
        <w:t>Amendments and supplements to the Company's Charter, internal regulations on corporate governance, and Operational Regulations of the Board of Directors.</w:t>
      </w:r>
    </w:p>
    <w:p w14:paraId="00000011" w14:textId="77777777" w:rsidR="00946D70" w:rsidRPr="00C5472B" w:rsidRDefault="00C5472B" w:rsidP="00BB5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2B">
        <w:rPr>
          <w:rFonts w:ascii="Arial" w:hAnsi="Arial" w:cs="Arial"/>
          <w:color w:val="010000"/>
          <w:sz w:val="20"/>
        </w:rPr>
        <w:t>Other contents.</w:t>
      </w:r>
    </w:p>
    <w:p w14:paraId="00000012" w14:textId="6B3E5597" w:rsidR="00946D70" w:rsidRPr="00C5472B" w:rsidRDefault="00C5472B" w:rsidP="00BB59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472B">
        <w:rPr>
          <w:rFonts w:ascii="Arial" w:hAnsi="Arial" w:cs="Arial"/>
          <w:color w:val="010000"/>
          <w:sz w:val="20"/>
        </w:rPr>
        <w:t xml:space="preserve">‎‎Article 4. This Resolution takes effect on the date of its signing. Members of the Board of Directors, </w:t>
      </w:r>
      <w:r>
        <w:rPr>
          <w:rFonts w:ascii="Arial" w:hAnsi="Arial" w:cs="Arial"/>
          <w:color w:val="010000"/>
          <w:sz w:val="20"/>
        </w:rPr>
        <w:t xml:space="preserve">the </w:t>
      </w:r>
      <w:r w:rsidRPr="00C5472B">
        <w:rPr>
          <w:rFonts w:ascii="Arial" w:hAnsi="Arial" w:cs="Arial"/>
          <w:color w:val="010000"/>
          <w:sz w:val="20"/>
        </w:rPr>
        <w:t>Manager and relevant departments and individuals are responsible for the implementation of this resolution.</w:t>
      </w:r>
    </w:p>
    <w:sectPr w:rsidR="00946D70" w:rsidRPr="00C5472B" w:rsidSect="00C5472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7BFE"/>
    <w:multiLevelType w:val="multilevel"/>
    <w:tmpl w:val="419A285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E755C43"/>
    <w:multiLevelType w:val="multilevel"/>
    <w:tmpl w:val="85EAC32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70"/>
    <w:rsid w:val="00946D70"/>
    <w:rsid w:val="00BB59E1"/>
    <w:rsid w:val="00C5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C8354"/>
  <w15:docId w15:val="{8B70600C-9C29-48D6-9263-FA2194E6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/>
      <w:strike w:val="0"/>
      <w:sz w:val="9"/>
      <w:szCs w:val="9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C7485A"/>
      <w:sz w:val="18"/>
      <w:szCs w:val="1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C7485A"/>
      <w:w w:val="80"/>
      <w:sz w:val="20"/>
      <w:szCs w:val="20"/>
      <w:u w:val="none"/>
    </w:rPr>
  </w:style>
  <w:style w:type="paragraph" w:customStyle="1" w:styleId="Bodytext20">
    <w:name w:val="Body text (2)"/>
    <w:basedOn w:val="Normal"/>
    <w:link w:val="Bodytext2"/>
    <w:pPr>
      <w:spacing w:line="26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33" w:lineRule="auto"/>
      <w:ind w:left="7540"/>
    </w:pPr>
    <w:rPr>
      <w:rFonts w:ascii="Arial" w:eastAsia="Arial" w:hAnsi="Arial" w:cs="Arial"/>
      <w:b/>
      <w:bCs/>
      <w:sz w:val="11"/>
      <w:szCs w:val="11"/>
    </w:rPr>
  </w:style>
  <w:style w:type="paragraph" w:customStyle="1" w:styleId="Bodytext60">
    <w:name w:val="Body text (6)"/>
    <w:basedOn w:val="Normal"/>
    <w:link w:val="Bodytext6"/>
    <w:pPr>
      <w:jc w:val="right"/>
    </w:pPr>
    <w:rPr>
      <w:rFonts w:ascii="Arial" w:eastAsia="Arial" w:hAnsi="Arial" w:cs="Arial"/>
      <w:b/>
      <w:bCs/>
      <w:smallCaps/>
      <w:sz w:val="9"/>
      <w:szCs w:val="9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pPr>
      <w:spacing w:line="360" w:lineRule="auto"/>
      <w:jc w:val="center"/>
    </w:pPr>
    <w:rPr>
      <w:rFonts w:ascii="Arial" w:eastAsia="Arial" w:hAnsi="Arial" w:cs="Arial"/>
      <w:color w:val="C7485A"/>
      <w:sz w:val="18"/>
      <w:szCs w:val="18"/>
    </w:rPr>
  </w:style>
  <w:style w:type="paragraph" w:customStyle="1" w:styleId="Bodytext50">
    <w:name w:val="Body text (5)"/>
    <w:basedOn w:val="Normal"/>
    <w:link w:val="Bodytext5"/>
    <w:pPr>
      <w:spacing w:line="312" w:lineRule="auto"/>
      <w:jc w:val="center"/>
    </w:pPr>
    <w:rPr>
      <w:rFonts w:ascii="Arial" w:eastAsia="Arial" w:hAnsi="Arial" w:cs="Arial"/>
      <w:color w:val="C7485A"/>
      <w:w w:val="8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2Pb7OYjjorcwQScv3pAIXLtK+w==">CgMxLjA4AHIhMW45cTQ3UzBfMFRkbkswcVY1NXFUMklURVoyRUx4LWhL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2024-04-04T04:08:00Z</dcterms:created>
  <dcterms:modified xsi:type="dcterms:W3CDTF">2024-04-05T08:25:00Z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f4c3dbfd630234f6ec7430a89e0a911fd01b6c58b4b72dcf56b19d4f342f0928</vt:lpwstr>
  </property>
</Properties>
</file>