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303DD" w:rsidRPr="00BD4FD2" w:rsidRDefault="00BD4FD2" w:rsidP="00C23D5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D4FD2">
        <w:rPr>
          <w:rFonts w:ascii="Arial" w:hAnsi="Arial" w:cs="Arial"/>
          <w:b/>
          <w:color w:val="010000"/>
          <w:sz w:val="20"/>
        </w:rPr>
        <w:t>SCG: Board Resolution</w:t>
      </w:r>
    </w:p>
    <w:p w14:paraId="00000002" w14:textId="77777777" w:rsidR="004303DD" w:rsidRPr="00BD4FD2" w:rsidRDefault="00BD4FD2" w:rsidP="00C23D5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>On March 30, 2024, SCG Construction Group Joint Stock Company announced Resolution No. 04/2024/SCG/NQ-HDQT as follows:</w:t>
      </w:r>
    </w:p>
    <w:p w14:paraId="00000003" w14:textId="77777777" w:rsidR="004303DD" w:rsidRPr="00BD4FD2" w:rsidRDefault="00BD4FD2" w:rsidP="00C23D5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>‎‎Article 1. Approve the cancellation of the plan specified in Section b, Article 1 of Resolution No. 20 on "debt settlement between the Company, contractors and related parties".</w:t>
      </w:r>
    </w:p>
    <w:p w14:paraId="00000004" w14:textId="6D6B5159" w:rsidR="004303DD" w:rsidRPr="00BD4FD2" w:rsidRDefault="00BD4FD2" w:rsidP="00C23D5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 xml:space="preserve">‎‎Article 2. Approve four-party debt clearing between the Company, </w:t>
      </w:r>
      <w:proofErr w:type="spellStart"/>
      <w:r w:rsidRPr="00BD4FD2">
        <w:rPr>
          <w:rFonts w:ascii="Arial" w:hAnsi="Arial" w:cs="Arial"/>
          <w:color w:val="010000"/>
          <w:sz w:val="20"/>
        </w:rPr>
        <w:t>Fountech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Joint Stock Company (“</w:t>
      </w:r>
      <w:proofErr w:type="spellStart"/>
      <w:r w:rsidRPr="00BD4FD2">
        <w:rPr>
          <w:rFonts w:ascii="Arial" w:hAnsi="Arial" w:cs="Arial"/>
          <w:color w:val="010000"/>
          <w:sz w:val="20"/>
        </w:rPr>
        <w:t>Fountech</w:t>
      </w:r>
      <w:proofErr w:type="spellEnd"/>
      <w:r w:rsidRPr="00BD4FD2">
        <w:rPr>
          <w:rFonts w:ascii="Arial" w:hAnsi="Arial" w:cs="Arial"/>
          <w:color w:val="010000"/>
          <w:sz w:val="20"/>
        </w:rPr>
        <w:t>”, tax code: 0102291083), Sunshine Saigon Joint Stock Company (“Sunshine Saigon”, tax code: 0315210233)</w:t>
      </w:r>
      <w:r w:rsidR="00C23D54">
        <w:rPr>
          <w:rFonts w:ascii="Arial" w:hAnsi="Arial" w:cs="Arial"/>
          <w:color w:val="010000"/>
          <w:sz w:val="20"/>
        </w:rPr>
        <w:t>,</w:t>
      </w:r>
      <w:r w:rsidRPr="00BD4FD2">
        <w:rPr>
          <w:rFonts w:ascii="Arial" w:hAnsi="Arial" w:cs="Arial"/>
          <w:color w:val="010000"/>
          <w:sz w:val="20"/>
        </w:rPr>
        <w:t xml:space="preserve"> and Unique Group Joint Stock Company (“Unique”, tax code: 0317398911), specifically as follows:</w:t>
      </w:r>
      <w:r w:rsidR="000141DB" w:rsidRPr="00BD4FD2">
        <w:rPr>
          <w:rFonts w:ascii="Arial" w:hAnsi="Arial" w:cs="Arial"/>
          <w:color w:val="010000"/>
          <w:sz w:val="20"/>
        </w:rPr>
        <w:t xml:space="preserve"> </w:t>
      </w:r>
    </w:p>
    <w:p w14:paraId="00000005" w14:textId="491CC58F" w:rsidR="004303DD" w:rsidRPr="00BD4FD2" w:rsidRDefault="00BD4FD2" w:rsidP="00C23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 xml:space="preserve">The debt clearing amount is </w:t>
      </w:r>
      <w:r w:rsidR="000141DB" w:rsidRPr="00BD4FD2">
        <w:rPr>
          <w:rFonts w:ascii="Arial" w:hAnsi="Arial" w:cs="Arial"/>
          <w:color w:val="010000"/>
          <w:sz w:val="20"/>
        </w:rPr>
        <w:t xml:space="preserve">VND </w:t>
      </w:r>
      <w:r w:rsidRPr="00BD4FD2">
        <w:rPr>
          <w:rFonts w:ascii="Arial" w:hAnsi="Arial" w:cs="Arial"/>
          <w:color w:val="010000"/>
          <w:sz w:val="20"/>
        </w:rPr>
        <w:t>8,825,471,240 (“Offset Amount”).</w:t>
      </w:r>
    </w:p>
    <w:p w14:paraId="00000006" w14:textId="77777777" w:rsidR="004303DD" w:rsidRPr="00BD4FD2" w:rsidRDefault="00BD4FD2" w:rsidP="00C23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>Debts between the parties will be offset as follows:</w:t>
      </w:r>
    </w:p>
    <w:p w14:paraId="00000007" w14:textId="7C25153B" w:rsidR="004303DD" w:rsidRPr="00BD4FD2" w:rsidRDefault="00BD4FD2" w:rsidP="00C23D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 xml:space="preserve">The Company is considered to have paid the Offset Amount to </w:t>
      </w:r>
      <w:proofErr w:type="spellStart"/>
      <w:r w:rsidRPr="00BD4FD2">
        <w:rPr>
          <w:rFonts w:ascii="Arial" w:hAnsi="Arial" w:cs="Arial"/>
          <w:color w:val="010000"/>
          <w:sz w:val="20"/>
        </w:rPr>
        <w:t>Fountech</w:t>
      </w:r>
      <w:proofErr w:type="spellEnd"/>
      <w:r w:rsidRPr="00BD4FD2">
        <w:rPr>
          <w:rFonts w:ascii="Arial" w:hAnsi="Arial" w:cs="Arial"/>
          <w:color w:val="010000"/>
          <w:sz w:val="20"/>
        </w:rPr>
        <w:t>;</w:t>
      </w:r>
    </w:p>
    <w:p w14:paraId="00000008" w14:textId="0A8622F5" w:rsidR="004303DD" w:rsidRPr="00BD4FD2" w:rsidRDefault="00BD4FD2" w:rsidP="00C23D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BD4FD2">
        <w:rPr>
          <w:rFonts w:ascii="Arial" w:hAnsi="Arial" w:cs="Arial"/>
          <w:color w:val="010000"/>
          <w:sz w:val="20"/>
        </w:rPr>
        <w:t>Fountech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is considered to have paid the Offset Amount to Unique;</w:t>
      </w:r>
    </w:p>
    <w:p w14:paraId="00000009" w14:textId="34A759C2" w:rsidR="004303DD" w:rsidRPr="00BD4FD2" w:rsidRDefault="00BD4FD2" w:rsidP="00C23D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>Sunshine Saigon is considered to have paid the Offset Amount to the Company;</w:t>
      </w:r>
    </w:p>
    <w:p w14:paraId="0000000A" w14:textId="02CB518B" w:rsidR="004303DD" w:rsidRPr="00BD4FD2" w:rsidRDefault="00BD4FD2" w:rsidP="00C23D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 xml:space="preserve">Sunshine Saigon must pay Offset Amount to </w:t>
      </w:r>
      <w:proofErr w:type="spellStart"/>
      <w:r w:rsidRPr="00BD4FD2">
        <w:rPr>
          <w:rFonts w:ascii="Arial" w:hAnsi="Arial" w:cs="Arial"/>
          <w:color w:val="010000"/>
          <w:sz w:val="20"/>
        </w:rPr>
        <w:t>Fountech</w:t>
      </w:r>
      <w:proofErr w:type="spellEnd"/>
      <w:r w:rsidRPr="00BD4FD2">
        <w:rPr>
          <w:rFonts w:ascii="Arial" w:hAnsi="Arial" w:cs="Arial"/>
          <w:color w:val="010000"/>
          <w:sz w:val="20"/>
        </w:rPr>
        <w:t>;</w:t>
      </w:r>
    </w:p>
    <w:p w14:paraId="0000000B" w14:textId="77777777" w:rsidR="004303DD" w:rsidRPr="00BD4FD2" w:rsidRDefault="00BD4FD2" w:rsidP="00C23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>Relations with the Corporation</w:t>
      </w:r>
    </w:p>
    <w:p w14:paraId="0000000C" w14:textId="35AC780A" w:rsidR="004303DD" w:rsidRPr="00BD4FD2" w:rsidRDefault="00BD4FD2" w:rsidP="00C23D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0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 xml:space="preserve">Mr. Do Van Truong - Chair of the Board of Directors/Major Shareholder of the Company is a major shareholder/Member of the Board of Directors/Deputy General Manager of Sunshine Saigon; Mr. Nguyen </w:t>
      </w:r>
      <w:proofErr w:type="spellStart"/>
      <w:r w:rsidRPr="00BD4FD2">
        <w:rPr>
          <w:rFonts w:ascii="Arial" w:hAnsi="Arial" w:cs="Arial"/>
          <w:color w:val="010000"/>
          <w:sz w:val="20"/>
        </w:rPr>
        <w:t>Khac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D4FD2">
        <w:rPr>
          <w:rFonts w:ascii="Arial" w:hAnsi="Arial" w:cs="Arial"/>
          <w:color w:val="010000"/>
          <w:sz w:val="20"/>
        </w:rPr>
        <w:t>Trung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- Deputy General Manager of the Company and also Deputy General Manager of Sunshine Saigon; Ms. Do Thi Hong </w:t>
      </w:r>
      <w:proofErr w:type="spellStart"/>
      <w:r w:rsidRPr="00BD4FD2">
        <w:rPr>
          <w:rFonts w:ascii="Arial" w:hAnsi="Arial" w:cs="Arial"/>
          <w:color w:val="010000"/>
          <w:sz w:val="20"/>
        </w:rPr>
        <w:t>Nhung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- Chair of the Board of Directors/General Manager/Major Shareholder of Sunshine Saigon is an affiliated person of Mr. Do Van Truong.</w:t>
      </w:r>
    </w:p>
    <w:p w14:paraId="0000000D" w14:textId="0DBC2C9A" w:rsidR="004303DD" w:rsidRPr="00BD4FD2" w:rsidRDefault="00BD4FD2" w:rsidP="00C23D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0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 xml:space="preserve">Ms. Do Thi Hong </w:t>
      </w:r>
      <w:proofErr w:type="spellStart"/>
      <w:r w:rsidRPr="00BD4FD2">
        <w:rPr>
          <w:rFonts w:ascii="Arial" w:hAnsi="Arial" w:cs="Arial"/>
          <w:color w:val="010000"/>
          <w:sz w:val="20"/>
        </w:rPr>
        <w:t>Nhung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- Chair of the Board of Directors/General Manager/Major Shareholder of Unique is an affiliated person of Mr. Do Van Truong - Chair of the Board of Directors/Major Shareholder of the Company.</w:t>
      </w:r>
    </w:p>
    <w:p w14:paraId="0000000E" w14:textId="77777777" w:rsidR="004303DD" w:rsidRPr="00BD4FD2" w:rsidRDefault="00BD4FD2" w:rsidP="00C23D5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 xml:space="preserve">‎‎Article 3. Approve the policy of signing a Sales Contract with </w:t>
      </w:r>
      <w:proofErr w:type="spellStart"/>
      <w:r w:rsidRPr="00BD4FD2">
        <w:rPr>
          <w:rFonts w:ascii="Arial" w:hAnsi="Arial" w:cs="Arial"/>
          <w:color w:val="010000"/>
          <w:sz w:val="20"/>
        </w:rPr>
        <w:t>Unicloud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Technology Group Joint Stock Company - Ho Chi Minh City Branch (“</w:t>
      </w:r>
      <w:proofErr w:type="spellStart"/>
      <w:r w:rsidRPr="00BD4FD2">
        <w:rPr>
          <w:rFonts w:ascii="Arial" w:hAnsi="Arial" w:cs="Arial"/>
          <w:color w:val="010000"/>
          <w:sz w:val="20"/>
        </w:rPr>
        <w:t>Unicloud</w:t>
      </w:r>
      <w:proofErr w:type="spellEnd"/>
      <w:r w:rsidRPr="00BD4FD2">
        <w:rPr>
          <w:rFonts w:ascii="Arial" w:hAnsi="Arial" w:cs="Arial"/>
          <w:color w:val="010000"/>
          <w:sz w:val="20"/>
        </w:rPr>
        <w:t>- Ho Chi Minh City Branch”, tax code: 0107432651-001), specifically as follows:</w:t>
      </w:r>
    </w:p>
    <w:p w14:paraId="0000000F" w14:textId="6FD3CD19" w:rsidR="004303DD" w:rsidRPr="00BD4FD2" w:rsidRDefault="00BD4FD2" w:rsidP="00C23D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 xml:space="preserve">Scope of work: Providing additional switches and sockets for the high-rise housing project in </w:t>
      </w:r>
      <w:proofErr w:type="spellStart"/>
      <w:r w:rsidRPr="00BD4FD2">
        <w:rPr>
          <w:rFonts w:ascii="Arial" w:hAnsi="Arial" w:cs="Arial"/>
          <w:color w:val="010000"/>
          <w:sz w:val="20"/>
        </w:rPr>
        <w:t>Phu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D4FD2">
        <w:rPr>
          <w:rFonts w:ascii="Arial" w:hAnsi="Arial" w:cs="Arial"/>
          <w:color w:val="010000"/>
          <w:sz w:val="20"/>
        </w:rPr>
        <w:t>Thuan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Ward, District 7, address at Dao Tri Street, </w:t>
      </w:r>
      <w:proofErr w:type="spellStart"/>
      <w:r w:rsidRPr="00BD4FD2">
        <w:rPr>
          <w:rFonts w:ascii="Arial" w:hAnsi="Arial" w:cs="Arial"/>
          <w:color w:val="010000"/>
          <w:sz w:val="20"/>
        </w:rPr>
        <w:t>Phu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D4FD2">
        <w:rPr>
          <w:rFonts w:ascii="Arial" w:hAnsi="Arial" w:cs="Arial"/>
          <w:color w:val="010000"/>
          <w:sz w:val="20"/>
        </w:rPr>
        <w:t>Thuan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Ward, District 7, </w:t>
      </w:r>
      <w:proofErr w:type="gramStart"/>
      <w:r w:rsidRPr="00BD4FD2">
        <w:rPr>
          <w:rFonts w:ascii="Arial" w:hAnsi="Arial" w:cs="Arial"/>
          <w:color w:val="010000"/>
          <w:sz w:val="20"/>
        </w:rPr>
        <w:t>Ho</w:t>
      </w:r>
      <w:proofErr w:type="gramEnd"/>
      <w:r w:rsidRPr="00BD4FD2">
        <w:rPr>
          <w:rFonts w:ascii="Arial" w:hAnsi="Arial" w:cs="Arial"/>
          <w:color w:val="010000"/>
          <w:sz w:val="20"/>
        </w:rPr>
        <w:t xml:space="preserve"> Chi Minh City.</w:t>
      </w:r>
    </w:p>
    <w:p w14:paraId="00000010" w14:textId="77777777" w:rsidR="004303DD" w:rsidRPr="00BD4FD2" w:rsidRDefault="00BD4FD2" w:rsidP="00C23D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 xml:space="preserve">Total contract value: VND 403,165,341 </w:t>
      </w:r>
    </w:p>
    <w:p w14:paraId="00000011" w14:textId="2B70233B" w:rsidR="004303DD" w:rsidRPr="00BD4FD2" w:rsidRDefault="00BD4FD2" w:rsidP="00C23D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0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>Contract value includes 10% VAT, Transportation costs to the construction site (including the cost of loading and unloading goods within 15 meters from the rear of the vehicle where the vehicle can stop)</w:t>
      </w:r>
      <w:r w:rsidR="00C23D54">
        <w:rPr>
          <w:rFonts w:ascii="Arial" w:hAnsi="Arial" w:cs="Arial"/>
          <w:color w:val="010000"/>
          <w:sz w:val="20"/>
        </w:rPr>
        <w:t>,</w:t>
      </w:r>
      <w:r w:rsidRPr="00BD4FD2">
        <w:rPr>
          <w:rFonts w:ascii="Arial" w:hAnsi="Arial" w:cs="Arial"/>
          <w:color w:val="010000"/>
          <w:sz w:val="20"/>
        </w:rPr>
        <w:t xml:space="preserve"> and other necessary costs.</w:t>
      </w:r>
    </w:p>
    <w:p w14:paraId="00000012" w14:textId="77777777" w:rsidR="004303DD" w:rsidRPr="00BD4FD2" w:rsidRDefault="00BD4FD2" w:rsidP="00C23D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0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 xml:space="preserve">Payment value is based on the actual delivery volume at the construction site, confirmed by both </w:t>
      </w:r>
      <w:r w:rsidRPr="00BD4FD2">
        <w:rPr>
          <w:rFonts w:ascii="Arial" w:hAnsi="Arial" w:cs="Arial"/>
          <w:color w:val="010000"/>
          <w:sz w:val="20"/>
        </w:rPr>
        <w:lastRenderedPageBreak/>
        <w:t>parties with a goods delivery record.</w:t>
      </w:r>
    </w:p>
    <w:p w14:paraId="00000013" w14:textId="77777777" w:rsidR="004303DD" w:rsidRPr="00BD4FD2" w:rsidRDefault="00BD4FD2" w:rsidP="00C23D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 xml:space="preserve">Relationship with the Company: Ms. Do Thi </w:t>
      </w:r>
      <w:proofErr w:type="spellStart"/>
      <w:r w:rsidRPr="00BD4FD2">
        <w:rPr>
          <w:rFonts w:ascii="Arial" w:hAnsi="Arial" w:cs="Arial"/>
          <w:color w:val="010000"/>
          <w:sz w:val="20"/>
        </w:rPr>
        <w:t>Dinh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- Share management representative of Real Tech Group Joint Stock Company at </w:t>
      </w:r>
      <w:proofErr w:type="spellStart"/>
      <w:r w:rsidRPr="00BD4FD2">
        <w:rPr>
          <w:rFonts w:ascii="Arial" w:hAnsi="Arial" w:cs="Arial"/>
          <w:color w:val="010000"/>
          <w:sz w:val="20"/>
        </w:rPr>
        <w:t>Unicloud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whose affiliated person is Mr. Nguyen </w:t>
      </w:r>
      <w:proofErr w:type="spellStart"/>
      <w:r w:rsidRPr="00BD4FD2">
        <w:rPr>
          <w:rFonts w:ascii="Arial" w:hAnsi="Arial" w:cs="Arial"/>
          <w:color w:val="010000"/>
          <w:sz w:val="20"/>
        </w:rPr>
        <w:t>Dinh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D4FD2">
        <w:rPr>
          <w:rFonts w:ascii="Arial" w:hAnsi="Arial" w:cs="Arial"/>
          <w:color w:val="010000"/>
          <w:sz w:val="20"/>
        </w:rPr>
        <w:t>Duc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(brother-in-law) - Chief Accountant/ Authorized person to disclose information of SCG; </w:t>
      </w:r>
      <w:proofErr w:type="spellStart"/>
      <w:r w:rsidRPr="00BD4FD2">
        <w:rPr>
          <w:rFonts w:ascii="Arial" w:hAnsi="Arial" w:cs="Arial"/>
          <w:color w:val="010000"/>
          <w:sz w:val="20"/>
        </w:rPr>
        <w:t>Unicloud</w:t>
      </w:r>
      <w:proofErr w:type="spellEnd"/>
      <w:r w:rsidRPr="00BD4FD2">
        <w:rPr>
          <w:rFonts w:ascii="Arial" w:hAnsi="Arial" w:cs="Arial"/>
          <w:color w:val="010000"/>
          <w:sz w:val="20"/>
        </w:rPr>
        <w:t xml:space="preserve"> is an indirect subsidiary of Real Tech Group Joint Stock Company (SCG and Real Tech Group Joint Stock Company share the same executive manager).</w:t>
      </w:r>
    </w:p>
    <w:p w14:paraId="00000014" w14:textId="08045EAF" w:rsidR="004303DD" w:rsidRPr="00BD4FD2" w:rsidRDefault="00BD4FD2" w:rsidP="00C23D5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 xml:space="preserve">‎‎Article 4. Assign/authorize the General Manager of the Company based on the specific situation to take responsibility for organizing, </w:t>
      </w:r>
      <w:r w:rsidR="00C23D54">
        <w:rPr>
          <w:rFonts w:ascii="Arial" w:hAnsi="Arial" w:cs="Arial"/>
          <w:color w:val="010000"/>
          <w:sz w:val="20"/>
        </w:rPr>
        <w:t xml:space="preserve">and </w:t>
      </w:r>
      <w:r w:rsidRPr="00BD4FD2">
        <w:rPr>
          <w:rFonts w:ascii="Arial" w:hAnsi="Arial" w:cs="Arial"/>
          <w:color w:val="010000"/>
          <w:sz w:val="20"/>
        </w:rPr>
        <w:t xml:space="preserve">executing the following tasks: </w:t>
      </w:r>
    </w:p>
    <w:p w14:paraId="00000015" w14:textId="694B27D4" w:rsidR="004303DD" w:rsidRPr="00BD4FD2" w:rsidRDefault="00BD4FD2" w:rsidP="00C23D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 xml:space="preserve">Negotiate, decide on other contents, approve, sign Contracts and other related documents </w:t>
      </w:r>
      <w:r w:rsidR="00C23D54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BD4FD2">
        <w:rPr>
          <w:rFonts w:ascii="Arial" w:hAnsi="Arial" w:cs="Arial"/>
          <w:color w:val="010000"/>
          <w:sz w:val="20"/>
        </w:rPr>
        <w:t xml:space="preserve"> the contents approved by the Board of Directors.</w:t>
      </w:r>
    </w:p>
    <w:p w14:paraId="00000016" w14:textId="77777777" w:rsidR="004303DD" w:rsidRPr="00BD4FD2" w:rsidRDefault="00BD4FD2" w:rsidP="00C23D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>Decide on the signing of documents amending and supplementing the above contents (if any);</w:t>
      </w:r>
    </w:p>
    <w:p w14:paraId="00000017" w14:textId="77777777" w:rsidR="004303DD" w:rsidRPr="00BD4FD2" w:rsidRDefault="00BD4FD2" w:rsidP="00C23D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>The General Manager of the Company shall authorize other organizations/individuals to implement the authorized contents.</w:t>
      </w:r>
    </w:p>
    <w:p w14:paraId="00000018" w14:textId="77777777" w:rsidR="004303DD" w:rsidRPr="00BD4FD2" w:rsidRDefault="00BD4FD2" w:rsidP="00C23D5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4FD2">
        <w:rPr>
          <w:rFonts w:ascii="Arial" w:hAnsi="Arial" w:cs="Arial"/>
          <w:color w:val="010000"/>
          <w:sz w:val="20"/>
        </w:rPr>
        <w:t>‎‎Article 5. This Resolution takes effect from the date of its signing. Relevant departments and individuals are responsible for implementing this Resolution.</w:t>
      </w:r>
    </w:p>
    <w:sectPr w:rsidR="004303DD" w:rsidRPr="00BD4FD2" w:rsidSect="000141D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0D8B"/>
    <w:multiLevelType w:val="multilevel"/>
    <w:tmpl w:val="870A18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8C101A"/>
    <w:multiLevelType w:val="multilevel"/>
    <w:tmpl w:val="64E4DE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D2114E"/>
    <w:multiLevelType w:val="multilevel"/>
    <w:tmpl w:val="1CECE95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C996CE0"/>
    <w:multiLevelType w:val="multilevel"/>
    <w:tmpl w:val="485686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A180632"/>
    <w:multiLevelType w:val="multilevel"/>
    <w:tmpl w:val="ADC041E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DD"/>
    <w:rsid w:val="000141DB"/>
    <w:rsid w:val="004303DD"/>
    <w:rsid w:val="00BD4FD2"/>
    <w:rsid w:val="00C2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AAAAA"/>
  <w15:docId w15:val="{8B70600C-9C29-48D6-9263-FA2194E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B4223C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B4223C"/>
      <w:sz w:val="19"/>
      <w:szCs w:val="19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4223C"/>
      <w:sz w:val="38"/>
      <w:szCs w:val="38"/>
      <w:u w:val="none"/>
    </w:rPr>
  </w:style>
  <w:style w:type="character" w:customStyle="1" w:styleId="Heading20">
    <w:name w:val="Heading #2_"/>
    <w:basedOn w:val="DefaultParagraphFont"/>
    <w:link w:val="Heading21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00"/>
      <w:szCs w:val="100"/>
      <w:u w:val="none"/>
    </w:rPr>
  </w:style>
  <w:style w:type="paragraph" w:styleId="BodyText">
    <w:name w:val="Body Text"/>
    <w:basedOn w:val="Normal"/>
    <w:link w:val="BodyTextChar"/>
    <w:qFormat/>
    <w:pPr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40"/>
      <w:szCs w:val="40"/>
    </w:rPr>
  </w:style>
  <w:style w:type="paragraph" w:customStyle="1" w:styleId="Heading31">
    <w:name w:val="Heading #3"/>
    <w:basedOn w:val="Normal"/>
    <w:link w:val="Heading30"/>
    <w:pPr>
      <w:spacing w:line="353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pacing w:line="276" w:lineRule="auto"/>
      <w:jc w:val="right"/>
    </w:pPr>
    <w:rPr>
      <w:rFonts w:ascii="Arial" w:eastAsia="Arial" w:hAnsi="Arial" w:cs="Arial"/>
      <w:b/>
      <w:bCs/>
      <w:color w:val="B4223C"/>
      <w:sz w:val="16"/>
      <w:szCs w:val="1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B4223C"/>
      <w:sz w:val="19"/>
      <w:szCs w:val="19"/>
    </w:rPr>
  </w:style>
  <w:style w:type="paragraph" w:customStyle="1" w:styleId="Heading11">
    <w:name w:val="Heading #1"/>
    <w:basedOn w:val="Normal"/>
    <w:link w:val="Heading10"/>
    <w:pPr>
      <w:spacing w:line="180" w:lineRule="auto"/>
      <w:outlineLvl w:val="0"/>
    </w:pPr>
    <w:rPr>
      <w:rFonts w:ascii="Times New Roman" w:eastAsia="Times New Roman" w:hAnsi="Times New Roman" w:cs="Times New Roman"/>
      <w:b/>
      <w:bCs/>
      <w:color w:val="B4223C"/>
      <w:sz w:val="38"/>
      <w:szCs w:val="38"/>
    </w:rPr>
  </w:style>
  <w:style w:type="paragraph" w:customStyle="1" w:styleId="Heading21">
    <w:name w:val="Heading #2"/>
    <w:basedOn w:val="Normal"/>
    <w:link w:val="Heading20"/>
    <w:pPr>
      <w:spacing w:line="209" w:lineRule="auto"/>
      <w:ind w:left="1100"/>
      <w:outlineLvl w:val="1"/>
    </w:pPr>
    <w:rPr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al"/>
    <w:link w:val="Bodytext6"/>
    <w:pPr>
      <w:ind w:left="1060"/>
    </w:pPr>
    <w:rPr>
      <w:rFonts w:ascii="Arial" w:eastAsia="Arial" w:hAnsi="Arial" w:cs="Arial"/>
      <w:sz w:val="100"/>
      <w:szCs w:val="1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vetY3AEaYGrqNj/zxUCimL8ZKw==">CgMxLjA4AHIhMW9rX0RLTjFidHJsbGVWUXY2b08wV0JFNUdBSmpmU055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3105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2024-04-04T04:21:00Z</dcterms:created>
  <dcterms:modified xsi:type="dcterms:W3CDTF">2024-04-05T08:39:00Z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1586974136a1e0a2820527dfec4454a91b89c0457f334ef166327587a5dafce2</vt:lpwstr>
  </property>
</Properties>
</file>