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E0" w:rsidRDefault="00DE5F1E" w:rsidP="00CE6B4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bCs/>
          <w:color w:val="010000"/>
          <w:sz w:val="20"/>
        </w:rPr>
        <w:t>SP2:</w:t>
      </w:r>
      <w:r>
        <w:rPr>
          <w:rFonts w:ascii="Arial" w:hAnsi="Arial"/>
          <w:b/>
          <w:color w:val="010000"/>
          <w:sz w:val="20"/>
        </w:rPr>
        <w:t xml:space="preserve"> Explanation on the Audited Financial Statements 2023</w:t>
      </w:r>
    </w:p>
    <w:p w:rsidR="000C6BE0" w:rsidRDefault="00DE5F1E" w:rsidP="00CE6B4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March 30, 2024, Su Pan 2 Hydropower Joint Stock Company announced Official Dispatch No. 26/SP2-TCKT on explaining auditor's qualified opinions in the Financial Statements 2023 as follows:</w:t>
      </w:r>
      <w:r>
        <w:rPr>
          <w:rFonts w:ascii="Arial" w:hAnsi="Arial"/>
          <w:color w:val="010000"/>
          <w:sz w:val="20"/>
        </w:rPr>
        <w:t xml:space="preserve"> </w:t>
      </w:r>
    </w:p>
    <w:p w:rsidR="000C6BE0" w:rsidRDefault="00DE5F1E" w:rsidP="00CE6B48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Auditor’s qualified opinion:</w:t>
      </w:r>
    </w:p>
    <w:p w:rsidR="000C6BE0" w:rsidRPr="009D703B" w:rsidRDefault="00DE5F1E" w:rsidP="00CE6B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Regarding the loan, Son Lac </w:t>
      </w:r>
      <w:proofErr w:type="spellStart"/>
      <w:r>
        <w:rPr>
          <w:rFonts w:ascii="Arial" w:hAnsi="Arial"/>
          <w:color w:val="010000"/>
          <w:sz w:val="20"/>
        </w:rPr>
        <w:t>Vien</w:t>
      </w:r>
      <w:proofErr w:type="spellEnd"/>
      <w:r>
        <w:rPr>
          <w:rFonts w:ascii="Arial" w:hAnsi="Arial"/>
          <w:color w:val="010000"/>
          <w:sz w:val="20"/>
        </w:rPr>
        <w:t xml:space="preserve"> Company Limited has been complying with the terms of the contract and contract appendix signed between the two parties.</w:t>
      </w:r>
      <w:r>
        <w:rPr>
          <w:rFonts w:ascii="Arial" w:hAnsi="Arial"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>However, in the auditor's opinion, the documents collected during the audi</w:t>
      </w:r>
      <w:r>
        <w:rPr>
          <w:rFonts w:ascii="Arial" w:hAnsi="Arial"/>
          <w:color w:val="010000"/>
          <w:sz w:val="20"/>
        </w:rPr>
        <w:t xml:space="preserve">t process are not enough </w:t>
      </w:r>
      <w:proofErr w:type="gramStart"/>
      <w:r>
        <w:rPr>
          <w:rFonts w:ascii="Arial" w:hAnsi="Arial"/>
          <w:color w:val="010000"/>
          <w:sz w:val="20"/>
        </w:rPr>
        <w:t>basis</w:t>
      </w:r>
      <w:proofErr w:type="gramEnd"/>
      <w:r>
        <w:rPr>
          <w:rFonts w:ascii="Arial" w:hAnsi="Arial"/>
          <w:color w:val="010000"/>
          <w:sz w:val="20"/>
        </w:rPr>
        <w:t xml:space="preserve"> to evaluate the possibility of recovering this loan.</w:t>
      </w:r>
      <w:r>
        <w:rPr>
          <w:rFonts w:ascii="Arial" w:hAnsi="Arial"/>
          <w:color w:val="010000"/>
          <w:sz w:val="20"/>
        </w:rPr>
        <w:t xml:space="preserve"> Therefore, the audit company gave the auditor’s qualified opinion as above. </w:t>
      </w:r>
      <w:r>
        <w:rPr>
          <w:rFonts w:ascii="Arial" w:hAnsi="Arial"/>
          <w:color w:val="010000"/>
          <w:sz w:val="20"/>
        </w:rPr>
        <w:t>The company is adding necessary documents to secure the loan as well as documents proving the ab</w:t>
      </w:r>
      <w:r>
        <w:rPr>
          <w:rFonts w:ascii="Arial" w:hAnsi="Arial"/>
          <w:color w:val="010000"/>
          <w:sz w:val="20"/>
        </w:rPr>
        <w:t>ility to recover the loan to supplement the audit unit in the near future.</w:t>
      </w:r>
    </w:p>
    <w:p w:rsidR="009D703B" w:rsidRDefault="009D703B" w:rsidP="009D703B">
      <w:pPr>
        <w:pBdr>
          <w:top w:val="nil"/>
          <w:left w:val="nil"/>
          <w:bottom w:val="double" w:sz="6" w:space="1" w:color="auto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/>
          <w:color w:val="010000"/>
          <w:sz w:val="20"/>
        </w:rPr>
      </w:pPr>
    </w:p>
    <w:p w:rsidR="000C6BE0" w:rsidRDefault="00DE5F1E" w:rsidP="00CE6B4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March 30, 2024, Su Pan 2 Hydropower Joint Stock Company announced Official Dispatch No. 24/SP2-TCKT on explaining profit difference before and after audit of the Financial Statem</w:t>
      </w:r>
      <w:r>
        <w:rPr>
          <w:rFonts w:ascii="Arial" w:hAnsi="Arial"/>
          <w:color w:val="010000"/>
          <w:sz w:val="20"/>
        </w:rPr>
        <w:t xml:space="preserve">ents 2023 as follows: </w:t>
      </w:r>
    </w:p>
    <w:p w:rsidR="000C6BE0" w:rsidRDefault="00DE5F1E" w:rsidP="00CE6B4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 accordance with Circular No. 96/2020/TT-BTC dated November 16, 2020, issued by the Ministry of Finance,, Su Pan 2 Hydropower Joint Stock Company explains the difference in profit after tax in 2023 before and after audit as follows</w:t>
      </w:r>
      <w:r>
        <w:rPr>
          <w:rFonts w:ascii="Arial" w:hAnsi="Arial"/>
          <w:color w:val="010000"/>
          <w:sz w:val="20"/>
        </w:rPr>
        <w:t>: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2893"/>
        <w:gridCol w:w="2067"/>
        <w:gridCol w:w="2085"/>
        <w:gridCol w:w="1261"/>
      </w:tblGrid>
      <w:tr w:rsidR="000C6BE0">
        <w:tc>
          <w:tcPr>
            <w:tcW w:w="7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BE0" w:rsidRDefault="00D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BE0" w:rsidRDefault="00D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20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BE0" w:rsidRDefault="00D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 2023 before audit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BE0" w:rsidRDefault="00D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 2023 after audit</w:t>
            </w:r>
          </w:p>
        </w:tc>
        <w:tc>
          <w:tcPr>
            <w:tcW w:w="12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BE0" w:rsidRDefault="00D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</w:t>
            </w:r>
          </w:p>
          <w:p w:rsidR="000C6BE0" w:rsidRDefault="00D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(%)</w:t>
            </w:r>
          </w:p>
        </w:tc>
      </w:tr>
      <w:tr w:rsidR="000C6BE0">
        <w:tc>
          <w:tcPr>
            <w:tcW w:w="7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BE0" w:rsidRDefault="00D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BE0" w:rsidRDefault="00D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revenue and other incomes</w:t>
            </w:r>
          </w:p>
        </w:tc>
        <w:tc>
          <w:tcPr>
            <w:tcW w:w="20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BE0" w:rsidRDefault="00D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160,073,914,166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BE0" w:rsidRDefault="00D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156,243,821,302</w:t>
            </w:r>
          </w:p>
        </w:tc>
        <w:tc>
          <w:tcPr>
            <w:tcW w:w="12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BE0" w:rsidRDefault="00D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(2.39)</w:t>
            </w:r>
          </w:p>
        </w:tc>
      </w:tr>
      <w:tr w:rsidR="000C6BE0">
        <w:tc>
          <w:tcPr>
            <w:tcW w:w="7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BE0" w:rsidRDefault="00D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BE0" w:rsidRDefault="00D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expenses</w:t>
            </w:r>
          </w:p>
        </w:tc>
        <w:tc>
          <w:tcPr>
            <w:tcW w:w="20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BE0" w:rsidRDefault="00D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130,054,165,608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BE0" w:rsidRDefault="00D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130,046,110,507</w:t>
            </w:r>
          </w:p>
        </w:tc>
        <w:tc>
          <w:tcPr>
            <w:tcW w:w="12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BE0" w:rsidRDefault="00D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(0.01)</w:t>
            </w:r>
          </w:p>
        </w:tc>
      </w:tr>
      <w:tr w:rsidR="000C6BE0">
        <w:tc>
          <w:tcPr>
            <w:tcW w:w="7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BE0" w:rsidRDefault="00D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BE0" w:rsidRDefault="00D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profit before tax</w:t>
            </w:r>
          </w:p>
        </w:tc>
        <w:tc>
          <w:tcPr>
            <w:tcW w:w="20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BE0" w:rsidRDefault="00D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30,019,165,608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BE0" w:rsidRDefault="00D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26,197,710,795</w:t>
            </w:r>
          </w:p>
        </w:tc>
        <w:tc>
          <w:tcPr>
            <w:tcW w:w="12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BE0" w:rsidRDefault="00D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(12.73)</w:t>
            </w:r>
          </w:p>
        </w:tc>
      </w:tr>
      <w:tr w:rsidR="000C6BE0">
        <w:tc>
          <w:tcPr>
            <w:tcW w:w="7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BE0" w:rsidRDefault="00D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BE0" w:rsidRDefault="00D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profit after tax:</w:t>
            </w:r>
          </w:p>
        </w:tc>
        <w:tc>
          <w:tcPr>
            <w:tcW w:w="20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BE0" w:rsidRDefault="00D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27,596,954,173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BE0" w:rsidRDefault="00D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23,972,171,711</w:t>
            </w:r>
          </w:p>
        </w:tc>
        <w:tc>
          <w:tcPr>
            <w:tcW w:w="12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BE0" w:rsidRDefault="00D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(13.13)</w:t>
            </w:r>
          </w:p>
        </w:tc>
      </w:tr>
    </w:tbl>
    <w:p w:rsidR="000C6BE0" w:rsidRDefault="00DE5F1E" w:rsidP="00CE6B4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Explanation on the difference: Profit after tax in 2023 after audit decreased compared to before audit at VND 3.62 billion. The main reason is due to the auditor'</w:t>
      </w:r>
      <w:r>
        <w:rPr>
          <w:rFonts w:ascii="Arial" w:hAnsi="Arial"/>
          <w:color w:val="010000"/>
          <w:sz w:val="20"/>
        </w:rPr>
        <w:t>s adjustment to reduce other income.</w:t>
      </w:r>
    </w:p>
    <w:p w:rsidR="00DE5F1E" w:rsidRDefault="00DE5F1E" w:rsidP="00CE6B48">
      <w:pPr>
        <w:pBdr>
          <w:top w:val="nil"/>
          <w:left w:val="nil"/>
          <w:bottom w:val="double" w:sz="6" w:space="1" w:color="auto"/>
          <w:right w:val="nil"/>
          <w:between w:val="nil"/>
        </w:pBdr>
        <w:spacing w:after="120" w:line="360" w:lineRule="auto"/>
        <w:jc w:val="both"/>
        <w:rPr>
          <w:rFonts w:ascii="Arial" w:hAnsi="Arial"/>
          <w:color w:val="010000"/>
          <w:sz w:val="20"/>
        </w:rPr>
      </w:pPr>
    </w:p>
    <w:p w:rsidR="000C6BE0" w:rsidRDefault="00DE5F1E" w:rsidP="00CE6B4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On March 30, 2024, Su Pan 2 Hydropower Joint Stock Company announced Official Dispatch No. 25/SP2-TCKT on explaining profit difference in 2023 compared to 2022 as follows: </w:t>
      </w:r>
    </w:p>
    <w:p w:rsidR="000C6BE0" w:rsidRDefault="00DE5F1E" w:rsidP="00CE6B4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 accordance with Circular No. 96/2020/TT-BTC</w:t>
      </w:r>
      <w:r>
        <w:rPr>
          <w:rFonts w:ascii="Arial" w:hAnsi="Arial"/>
          <w:color w:val="010000"/>
          <w:sz w:val="20"/>
        </w:rPr>
        <w:t>, dated November 16, 2020 of the Ministry of Finance, Su Pan 2 Hydropower Joint Stock Company explains the difference in profit after tax in 2023 compared to 2022 as follows:</w:t>
      </w: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2889"/>
        <w:gridCol w:w="2072"/>
        <w:gridCol w:w="2087"/>
        <w:gridCol w:w="1264"/>
      </w:tblGrid>
      <w:tr w:rsidR="000C6BE0">
        <w:tc>
          <w:tcPr>
            <w:tcW w:w="7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BE0" w:rsidRDefault="00D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BE0" w:rsidRDefault="00D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20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BE0" w:rsidRDefault="00D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2022</w:t>
            </w:r>
          </w:p>
        </w:tc>
        <w:tc>
          <w:tcPr>
            <w:tcW w:w="20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BE0" w:rsidRDefault="00D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BE0" w:rsidRDefault="00D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 (%)</w:t>
            </w:r>
          </w:p>
        </w:tc>
      </w:tr>
      <w:tr w:rsidR="000C6BE0">
        <w:tc>
          <w:tcPr>
            <w:tcW w:w="7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BE0" w:rsidRDefault="00D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I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BE0" w:rsidRDefault="00D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revenue and other incomes</w:t>
            </w:r>
          </w:p>
        </w:tc>
        <w:tc>
          <w:tcPr>
            <w:tcW w:w="20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BE0" w:rsidRDefault="00D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197,859,264,569</w:t>
            </w:r>
          </w:p>
        </w:tc>
        <w:tc>
          <w:tcPr>
            <w:tcW w:w="20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BE0" w:rsidRDefault="00D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156,243,821,302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BE0" w:rsidRDefault="00D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(21.03)</w:t>
            </w:r>
          </w:p>
        </w:tc>
      </w:tr>
      <w:tr w:rsidR="000C6BE0">
        <w:tc>
          <w:tcPr>
            <w:tcW w:w="7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BE0" w:rsidRDefault="00D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BE0" w:rsidRDefault="00D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expenses</w:t>
            </w:r>
          </w:p>
        </w:tc>
        <w:tc>
          <w:tcPr>
            <w:tcW w:w="20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BE0" w:rsidRDefault="00D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137,901,977,888</w:t>
            </w:r>
          </w:p>
        </w:tc>
        <w:tc>
          <w:tcPr>
            <w:tcW w:w="20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BE0" w:rsidRDefault="00D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130,046,110,507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BE0" w:rsidRDefault="00D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(5.7)</w:t>
            </w:r>
          </w:p>
        </w:tc>
      </w:tr>
      <w:tr w:rsidR="000C6BE0">
        <w:tc>
          <w:tcPr>
            <w:tcW w:w="7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BE0" w:rsidRDefault="00D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BE0" w:rsidRDefault="00D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profit before tax</w:t>
            </w:r>
          </w:p>
        </w:tc>
        <w:tc>
          <w:tcPr>
            <w:tcW w:w="20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BE0" w:rsidRDefault="00D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59,957,286,681</w:t>
            </w:r>
          </w:p>
        </w:tc>
        <w:tc>
          <w:tcPr>
            <w:tcW w:w="20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BE0" w:rsidRDefault="00D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26,197,710,795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BE0" w:rsidRDefault="00D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(56.31)</w:t>
            </w:r>
          </w:p>
        </w:tc>
      </w:tr>
      <w:tr w:rsidR="000C6BE0">
        <w:tc>
          <w:tcPr>
            <w:tcW w:w="7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BE0" w:rsidRDefault="00D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BE0" w:rsidRDefault="00D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profit after tax:</w:t>
            </w:r>
          </w:p>
        </w:tc>
        <w:tc>
          <w:tcPr>
            <w:tcW w:w="20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BE0" w:rsidRDefault="00D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55,835,584,131</w:t>
            </w:r>
          </w:p>
        </w:tc>
        <w:tc>
          <w:tcPr>
            <w:tcW w:w="20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BE0" w:rsidRDefault="00D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23,972,171,711</w:t>
            </w:r>
          </w:p>
        </w:tc>
        <w:tc>
          <w:tcPr>
            <w:tcW w:w="12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BE0" w:rsidRDefault="00DE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(57.07)</w:t>
            </w:r>
          </w:p>
        </w:tc>
      </w:tr>
    </w:tbl>
    <w:p w:rsidR="000C6BE0" w:rsidRDefault="00DE5F1E" w:rsidP="00CE6B4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Explanation on the difference: </w:t>
      </w:r>
      <w:r>
        <w:rPr>
          <w:rFonts w:ascii="Arial" w:hAnsi="Arial"/>
          <w:color w:val="010000"/>
          <w:sz w:val="20"/>
        </w:rPr>
        <w:t>Profit after tax in 2023 decreased compared to 2022 at VND 31.86 billion. The main reason is poor hydrological conditions and reduced rainfall, causing electricity output to decrease in 2023.</w:t>
      </w:r>
    </w:p>
    <w:p w:rsidR="000C6BE0" w:rsidRDefault="000C6BE0">
      <w:pPr>
        <w:pBdr>
          <w:top w:val="nil"/>
          <w:left w:val="nil"/>
          <w:bottom w:val="nil"/>
          <w:right w:val="nil"/>
          <w:between w:val="nil"/>
        </w:pBdr>
        <w:tabs>
          <w:tab w:val="left" w:pos="69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</w:p>
    <w:sectPr w:rsidR="000C6BE0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87979"/>
    <w:multiLevelType w:val="multilevel"/>
    <w:tmpl w:val="D0642756"/>
    <w:lvl w:ilvl="0">
      <w:start w:val="559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C6BE0"/>
    <w:rsid w:val="000C6BE0"/>
    <w:rsid w:val="009D703B"/>
    <w:rsid w:val="00CE6B48"/>
    <w:rsid w:val="00DE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C54268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C54268"/>
      <w:w w:val="10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line="276" w:lineRule="auto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iu10">
    <w:name w:val="Tiêu đề #1"/>
    <w:basedOn w:val="Normal"/>
    <w:link w:val="Tiu1"/>
    <w:pPr>
      <w:spacing w:line="252" w:lineRule="auto"/>
      <w:ind w:firstLine="13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color w:val="C54268"/>
      <w:sz w:val="22"/>
      <w:szCs w:val="22"/>
    </w:rPr>
  </w:style>
  <w:style w:type="paragraph" w:customStyle="1" w:styleId="Khc0">
    <w:name w:val="Khác"/>
    <w:basedOn w:val="Normal"/>
    <w:link w:val="Khc"/>
    <w:pPr>
      <w:spacing w:line="26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pacing w:line="218" w:lineRule="auto"/>
      <w:jc w:val="center"/>
    </w:pPr>
    <w:rPr>
      <w:rFonts w:ascii="Tahoma" w:eastAsia="Tahoma" w:hAnsi="Tahoma" w:cs="Tahoma"/>
      <w:color w:val="C54268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C54268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C54268"/>
      <w:w w:val="10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line="276" w:lineRule="auto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iu10">
    <w:name w:val="Tiêu đề #1"/>
    <w:basedOn w:val="Normal"/>
    <w:link w:val="Tiu1"/>
    <w:pPr>
      <w:spacing w:line="252" w:lineRule="auto"/>
      <w:ind w:firstLine="13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color w:val="C54268"/>
      <w:sz w:val="22"/>
      <w:szCs w:val="22"/>
    </w:rPr>
  </w:style>
  <w:style w:type="paragraph" w:customStyle="1" w:styleId="Khc0">
    <w:name w:val="Khác"/>
    <w:basedOn w:val="Normal"/>
    <w:link w:val="Khc"/>
    <w:pPr>
      <w:spacing w:line="26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pacing w:line="218" w:lineRule="auto"/>
      <w:jc w:val="center"/>
    </w:pPr>
    <w:rPr>
      <w:rFonts w:ascii="Tahoma" w:eastAsia="Tahoma" w:hAnsi="Tahoma" w:cs="Tahoma"/>
      <w:color w:val="C54268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FaC5ahEZTUaYbAU3uENAhXBSRQ==">CgMxLjAyCGguZ2pkZ3hzOAByITFRUTNLaDM4anVIaFItRXlXMVFPeHhjVFpxc18yTTd3cw==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4</cp:revision>
  <dcterms:created xsi:type="dcterms:W3CDTF">2024-04-03T07:24:00Z</dcterms:created>
  <dcterms:modified xsi:type="dcterms:W3CDTF">2024-04-04T04:41:00Z</dcterms:modified>
</cp:coreProperties>
</file>