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67DB" w14:textId="018115D3" w:rsidR="005C2C20" w:rsidRDefault="000976DA" w:rsidP="00AB0A2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 xml:space="preserve">TBD: Explanation on the </w:t>
      </w:r>
      <w:r w:rsidR="00004975">
        <w:rPr>
          <w:rFonts w:ascii="Arial" w:hAnsi="Arial"/>
          <w:b/>
          <w:color w:val="010000"/>
          <w:sz w:val="20"/>
        </w:rPr>
        <w:t>difference in</w:t>
      </w:r>
      <w:r>
        <w:rPr>
          <w:rFonts w:ascii="Arial" w:hAnsi="Arial"/>
          <w:b/>
          <w:color w:val="010000"/>
          <w:sz w:val="20"/>
        </w:rPr>
        <w:t xml:space="preserve"> the profit after tax in 2023</w:t>
      </w:r>
    </w:p>
    <w:p w14:paraId="6CBDC901" w14:textId="40B3622F" w:rsidR="005C2C20" w:rsidRDefault="000976DA" w:rsidP="00AB0A2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26, 2024, Dong Anh Electrical Equipment Corporation - Joint Stock Company announced Official Dispatch No. 354/EEMC-TCKT on explaining the difference in profit after tax of over 10% compared to profit after tax of the same period last year as follows:</w:t>
      </w:r>
    </w:p>
    <w:tbl>
      <w:tblPr>
        <w:tblStyle w:val="a"/>
        <w:tblW w:w="9017" w:type="dxa"/>
        <w:tblLayout w:type="fixed"/>
        <w:tblLook w:val="0400" w:firstRow="0" w:lastRow="0" w:firstColumn="0" w:lastColumn="0" w:noHBand="0" w:noVBand="1"/>
      </w:tblPr>
      <w:tblGrid>
        <w:gridCol w:w="2230"/>
        <w:gridCol w:w="1941"/>
        <w:gridCol w:w="1755"/>
        <w:gridCol w:w="1926"/>
        <w:gridCol w:w="1165"/>
      </w:tblGrid>
      <w:tr w:rsidR="005C2C20" w14:paraId="43E4B19C" w14:textId="77777777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5129D" w14:textId="77777777" w:rsidR="005C2C20" w:rsidRDefault="00097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7F690" w14:textId="77777777" w:rsidR="005C2C20" w:rsidRDefault="00097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AD0E0" w14:textId="77777777" w:rsidR="005C2C20" w:rsidRDefault="00097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2022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BDDB2" w14:textId="77777777" w:rsidR="005C2C20" w:rsidRDefault="00097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Comparison</w:t>
            </w:r>
          </w:p>
        </w:tc>
      </w:tr>
      <w:tr w:rsidR="005C2C20" w14:paraId="4D13DA7E" w14:textId="77777777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E8424" w14:textId="77777777" w:rsidR="005C2C20" w:rsidRDefault="005C2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02416" w14:textId="77777777" w:rsidR="005C2C20" w:rsidRDefault="005C2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50CA7" w14:textId="77777777" w:rsidR="005C2C20" w:rsidRDefault="005C2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3200A" w14:textId="77777777" w:rsidR="005C2C20" w:rsidRDefault="00097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Increase/decrease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0CA0B" w14:textId="77777777" w:rsidR="005C2C20" w:rsidRDefault="00097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</w:tr>
      <w:tr w:rsidR="005C2C20" w14:paraId="750B3AC9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B1ED17" w14:textId="77777777" w:rsidR="005C2C20" w:rsidRDefault="00097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in the Separate Financial Statements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1529C" w14:textId="77777777" w:rsidR="005C2C20" w:rsidRDefault="00097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58,705,894,490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B20E9" w14:textId="77777777" w:rsidR="005C2C20" w:rsidRDefault="00097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48,295,360,998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A5666" w14:textId="77777777" w:rsidR="005C2C20" w:rsidRDefault="00097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10,410,533,492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15308" w14:textId="77777777" w:rsidR="005C2C20" w:rsidRDefault="00097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21.56%</w:t>
            </w:r>
          </w:p>
        </w:tc>
      </w:tr>
      <w:tr w:rsidR="005C2C20" w14:paraId="4AD6EEB1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B2BFA" w14:textId="77777777" w:rsidR="005C2C20" w:rsidRDefault="00097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in the Consolidated Financial Statements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2F281" w14:textId="77777777" w:rsidR="005C2C20" w:rsidRDefault="00097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50,330,741,340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E3328" w14:textId="77777777" w:rsidR="005C2C20" w:rsidRDefault="00097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42,487,177,237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D3569" w14:textId="77777777" w:rsidR="005C2C20" w:rsidRDefault="00097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7,843,564,103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6D99B" w14:textId="77777777" w:rsidR="005C2C20" w:rsidRDefault="00097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18.46%</w:t>
            </w:r>
          </w:p>
        </w:tc>
      </w:tr>
    </w:tbl>
    <w:p w14:paraId="5467459E" w14:textId="77777777" w:rsidR="005C2C20" w:rsidRDefault="000976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Reason of the difference:</w:t>
      </w:r>
    </w:p>
    <w:p w14:paraId="63D53206" w14:textId="11C64538" w:rsidR="005C2C20" w:rsidRDefault="000976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2023, net revenue from sales and service provision increased by 6.47% compared to that in 2022; Gross profit increased by 40.5% compared to that in 2022.</w:t>
      </w:r>
    </w:p>
    <w:sectPr w:rsidR="005C2C20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20"/>
    <w:rsid w:val="00004975"/>
    <w:rsid w:val="000976DA"/>
    <w:rsid w:val="005C2C20"/>
    <w:rsid w:val="00772297"/>
    <w:rsid w:val="00AB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3864"/>
  <w15:docId w15:val="{A6741319-D313-4206-9082-A6CAF51B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/>
      <w:strike w:val="0"/>
      <w:sz w:val="15"/>
      <w:szCs w:val="15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4111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112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112"/>
      <w:sz w:val="26"/>
      <w:szCs w:val="26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8"/>
      <w:szCs w:val="8"/>
    </w:rPr>
  </w:style>
  <w:style w:type="paragraph" w:customStyle="1" w:styleId="Vnbnnidung40">
    <w:name w:val="Văn bản nội dung (4)"/>
    <w:basedOn w:val="Normal"/>
    <w:link w:val="Vnbnnidung4"/>
    <w:pPr>
      <w:spacing w:line="180" w:lineRule="auto"/>
    </w:pPr>
    <w:rPr>
      <w:rFonts w:ascii="Arial" w:eastAsia="Arial" w:hAnsi="Arial" w:cs="Arial"/>
      <w:smallCaps/>
      <w:sz w:val="15"/>
      <w:szCs w:val="15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i/>
      <w:iCs/>
      <w:color w:val="141112"/>
    </w:rPr>
  </w:style>
  <w:style w:type="paragraph" w:customStyle="1" w:styleId="Vnbnnidung0">
    <w:name w:val="Văn bản nội dung"/>
    <w:basedOn w:val="Normal"/>
    <w:link w:val="Vnbnnidung"/>
    <w:pPr>
      <w:spacing w:line="257" w:lineRule="auto"/>
      <w:ind w:firstLine="400"/>
    </w:pPr>
    <w:rPr>
      <w:rFonts w:ascii="Times New Roman" w:eastAsia="Times New Roman" w:hAnsi="Times New Roman" w:cs="Times New Roman"/>
      <w:color w:val="141112"/>
      <w:sz w:val="26"/>
      <w:szCs w:val="26"/>
    </w:rPr>
  </w:style>
  <w:style w:type="paragraph" w:customStyle="1" w:styleId="Khc0">
    <w:name w:val="Khác"/>
    <w:basedOn w:val="Normal"/>
    <w:link w:val="Khc"/>
    <w:pPr>
      <w:spacing w:line="257" w:lineRule="auto"/>
      <w:ind w:firstLine="400"/>
    </w:pPr>
    <w:rPr>
      <w:rFonts w:ascii="Times New Roman" w:eastAsia="Times New Roman" w:hAnsi="Times New Roman" w:cs="Times New Roman"/>
      <w:color w:val="141112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sxxUCABsOo5pZDtRxP7A8Kqzqw==">CgMxLjA4AHIhMWptQ0hDeExQd2p2dk1XV1kyckpCZU5zU2hFakNjNXZQ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A216</cp:lastModifiedBy>
  <cp:revision>6</cp:revision>
  <dcterms:created xsi:type="dcterms:W3CDTF">2024-04-04T04:21:00Z</dcterms:created>
  <dcterms:modified xsi:type="dcterms:W3CDTF">2024-04-05T07:41:00Z</dcterms:modified>
</cp:coreProperties>
</file>