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8BE9" w14:textId="5CA9DA94" w:rsidR="00A679EF" w:rsidRPr="00514374" w:rsidRDefault="00514374" w:rsidP="003E6BE0">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End w:id="0"/>
      <w:r w:rsidRPr="00514374">
        <w:rPr>
          <w:rFonts w:ascii="Arial" w:hAnsi="Arial" w:cs="Arial"/>
          <w:b/>
          <w:color w:val="010000"/>
          <w:sz w:val="20"/>
        </w:rPr>
        <w:t>TCK: Supplemental explanations on the auditor’s opinion in the Audited Financial Statements 2023</w:t>
      </w:r>
      <w:r w:rsidR="003E6BE0" w:rsidRPr="00514374">
        <w:rPr>
          <w:rFonts w:ascii="Arial" w:hAnsi="Arial" w:cs="Arial"/>
          <w:b/>
          <w:color w:val="010000"/>
          <w:sz w:val="20"/>
        </w:rPr>
        <w:t>:</w:t>
      </w:r>
    </w:p>
    <w:p w14:paraId="0B8E4F2D" w14:textId="7C268813" w:rsidR="00A679EF" w:rsidRPr="00514374" w:rsidRDefault="00514374" w:rsidP="003E6BE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14374">
        <w:rPr>
          <w:rFonts w:ascii="Arial" w:hAnsi="Arial" w:cs="Arial"/>
          <w:color w:val="010000"/>
          <w:sz w:val="20"/>
        </w:rPr>
        <w:t>On March 29, 2024, Construction Machinery Corporation - JSC announced Official Dispatch No. 90/COMA-TCKT on explaining the difference of 10% or more in profit after tax in the Financial Statements 2023 compared to that in 2022; changing from loss of the previous period to profit in this period; the difference of 5% or more before and after audit; auditor’s qualified opinion as follows:</w:t>
      </w:r>
    </w:p>
    <w:tbl>
      <w:tblPr>
        <w:tblStyle w:val="a"/>
        <w:tblW w:w="5000" w:type="pct"/>
        <w:tblLook w:val="0000" w:firstRow="0" w:lastRow="0" w:firstColumn="0" w:lastColumn="0" w:noHBand="0" w:noVBand="0"/>
      </w:tblPr>
      <w:tblGrid>
        <w:gridCol w:w="1328"/>
        <w:gridCol w:w="1466"/>
        <w:gridCol w:w="1715"/>
        <w:gridCol w:w="1601"/>
        <w:gridCol w:w="1713"/>
        <w:gridCol w:w="1194"/>
      </w:tblGrid>
      <w:tr w:rsidR="00A679EF" w:rsidRPr="00514374" w14:paraId="46E9C7A7" w14:textId="77777777" w:rsidTr="003E6BE0">
        <w:tc>
          <w:tcPr>
            <w:tcW w:w="736" w:type="pct"/>
            <w:vMerge w:val="restart"/>
            <w:tcBorders>
              <w:top w:val="single" w:sz="4" w:space="0" w:color="000000"/>
              <w:left w:val="single" w:sz="4" w:space="0" w:color="000000"/>
            </w:tcBorders>
            <w:shd w:val="clear" w:color="auto" w:fill="auto"/>
            <w:tcMar>
              <w:top w:w="0" w:type="dxa"/>
              <w:bottom w:w="0" w:type="dxa"/>
            </w:tcMar>
            <w:vAlign w:val="center"/>
          </w:tcPr>
          <w:p w14:paraId="6D80298B" w14:textId="77777777" w:rsidR="00A679EF" w:rsidRPr="00514374" w:rsidRDefault="00514374" w:rsidP="002229B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14374">
              <w:rPr>
                <w:rFonts w:ascii="Arial" w:hAnsi="Arial" w:cs="Arial"/>
                <w:color w:val="010000"/>
                <w:sz w:val="20"/>
              </w:rPr>
              <w:t>Statement type</w:t>
            </w:r>
          </w:p>
        </w:tc>
        <w:tc>
          <w:tcPr>
            <w:tcW w:w="813" w:type="pct"/>
            <w:vMerge w:val="restart"/>
            <w:tcBorders>
              <w:top w:val="single" w:sz="4" w:space="0" w:color="000000"/>
              <w:left w:val="single" w:sz="4" w:space="0" w:color="000000"/>
            </w:tcBorders>
            <w:shd w:val="clear" w:color="auto" w:fill="auto"/>
            <w:tcMar>
              <w:top w:w="0" w:type="dxa"/>
              <w:bottom w:w="0" w:type="dxa"/>
            </w:tcMar>
            <w:vAlign w:val="center"/>
          </w:tcPr>
          <w:p w14:paraId="68C69C2D" w14:textId="77777777" w:rsidR="00A679EF" w:rsidRPr="00514374" w:rsidRDefault="00514374" w:rsidP="002229B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14374">
              <w:rPr>
                <w:rFonts w:ascii="Arial" w:hAnsi="Arial" w:cs="Arial"/>
                <w:color w:val="010000"/>
                <w:sz w:val="20"/>
              </w:rPr>
              <w:t>Targets</w:t>
            </w:r>
          </w:p>
        </w:tc>
        <w:tc>
          <w:tcPr>
            <w:tcW w:w="1839" w:type="pct"/>
            <w:gridSpan w:val="2"/>
            <w:tcBorders>
              <w:top w:val="single" w:sz="4" w:space="0" w:color="000000"/>
              <w:left w:val="single" w:sz="4" w:space="0" w:color="000000"/>
            </w:tcBorders>
            <w:shd w:val="clear" w:color="auto" w:fill="auto"/>
            <w:tcMar>
              <w:top w:w="0" w:type="dxa"/>
              <w:bottom w:w="0" w:type="dxa"/>
            </w:tcMar>
            <w:vAlign w:val="center"/>
          </w:tcPr>
          <w:p w14:paraId="26624CBB" w14:textId="77777777" w:rsidR="00A679EF" w:rsidRPr="00514374" w:rsidRDefault="00514374" w:rsidP="002229B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14374">
              <w:rPr>
                <w:rFonts w:ascii="Arial" w:hAnsi="Arial" w:cs="Arial"/>
                <w:color w:val="010000"/>
                <w:sz w:val="20"/>
              </w:rPr>
              <w:t>Reporting period</w:t>
            </w:r>
          </w:p>
        </w:tc>
        <w:tc>
          <w:tcPr>
            <w:tcW w:w="950" w:type="pct"/>
            <w:vMerge w:val="restart"/>
            <w:tcBorders>
              <w:top w:val="single" w:sz="4" w:space="0" w:color="000000"/>
              <w:left w:val="single" w:sz="4" w:space="0" w:color="000000"/>
            </w:tcBorders>
            <w:shd w:val="clear" w:color="auto" w:fill="auto"/>
            <w:tcMar>
              <w:top w:w="0" w:type="dxa"/>
              <w:bottom w:w="0" w:type="dxa"/>
            </w:tcMar>
            <w:vAlign w:val="center"/>
          </w:tcPr>
          <w:p w14:paraId="2426685E" w14:textId="77777777" w:rsidR="00A679EF" w:rsidRPr="00514374" w:rsidRDefault="00514374" w:rsidP="002229B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14374">
              <w:rPr>
                <w:rFonts w:ascii="Arial" w:hAnsi="Arial" w:cs="Arial"/>
                <w:color w:val="010000"/>
                <w:sz w:val="20"/>
              </w:rPr>
              <w:t>Difference</w:t>
            </w:r>
          </w:p>
        </w:tc>
        <w:tc>
          <w:tcPr>
            <w:tcW w:w="66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7EAE18" w14:textId="77777777" w:rsidR="00A679EF" w:rsidRPr="00514374" w:rsidRDefault="00514374" w:rsidP="002229BD">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14374">
              <w:rPr>
                <w:rFonts w:ascii="Arial" w:hAnsi="Arial" w:cs="Arial"/>
                <w:color w:val="010000"/>
                <w:sz w:val="20"/>
              </w:rPr>
              <w:t>Rate (%)</w:t>
            </w:r>
          </w:p>
        </w:tc>
      </w:tr>
      <w:tr w:rsidR="00A679EF" w:rsidRPr="00514374" w14:paraId="1931F589" w14:textId="77777777" w:rsidTr="003E6BE0">
        <w:tc>
          <w:tcPr>
            <w:tcW w:w="736" w:type="pct"/>
            <w:vMerge/>
            <w:tcBorders>
              <w:top w:val="single" w:sz="4" w:space="0" w:color="000000"/>
              <w:left w:val="single" w:sz="4" w:space="0" w:color="000000"/>
            </w:tcBorders>
            <w:shd w:val="clear" w:color="auto" w:fill="auto"/>
            <w:tcMar>
              <w:top w:w="0" w:type="dxa"/>
              <w:bottom w:w="0" w:type="dxa"/>
            </w:tcMar>
            <w:vAlign w:val="center"/>
          </w:tcPr>
          <w:p w14:paraId="119D321B" w14:textId="77777777" w:rsidR="00A679EF" w:rsidRPr="00514374" w:rsidRDefault="00A679EF" w:rsidP="003E6BE0">
            <w:pPr>
              <w:pBdr>
                <w:top w:val="nil"/>
                <w:left w:val="nil"/>
                <w:bottom w:val="nil"/>
                <w:right w:val="nil"/>
                <w:between w:val="nil"/>
              </w:pBdr>
              <w:spacing w:after="120" w:line="360" w:lineRule="auto"/>
              <w:rPr>
                <w:rFonts w:ascii="Arial" w:eastAsia="Arial" w:hAnsi="Arial" w:cs="Arial"/>
                <w:color w:val="010000"/>
                <w:sz w:val="20"/>
                <w:szCs w:val="20"/>
              </w:rPr>
            </w:pPr>
          </w:p>
        </w:tc>
        <w:tc>
          <w:tcPr>
            <w:tcW w:w="813" w:type="pct"/>
            <w:vMerge/>
            <w:tcBorders>
              <w:top w:val="single" w:sz="4" w:space="0" w:color="000000"/>
              <w:left w:val="single" w:sz="4" w:space="0" w:color="000000"/>
            </w:tcBorders>
            <w:shd w:val="clear" w:color="auto" w:fill="auto"/>
            <w:tcMar>
              <w:top w:w="0" w:type="dxa"/>
              <w:bottom w:w="0" w:type="dxa"/>
            </w:tcMar>
            <w:vAlign w:val="center"/>
          </w:tcPr>
          <w:p w14:paraId="5697E084" w14:textId="77777777" w:rsidR="00A679EF" w:rsidRPr="00514374" w:rsidRDefault="00A679EF" w:rsidP="003E6BE0">
            <w:pPr>
              <w:pBdr>
                <w:top w:val="nil"/>
                <w:left w:val="nil"/>
                <w:bottom w:val="nil"/>
                <w:right w:val="nil"/>
                <w:between w:val="nil"/>
              </w:pBdr>
              <w:spacing w:after="120" w:line="360" w:lineRule="auto"/>
              <w:rPr>
                <w:rFonts w:ascii="Arial" w:eastAsia="Arial" w:hAnsi="Arial" w:cs="Arial"/>
                <w:color w:val="010000"/>
                <w:sz w:val="20"/>
                <w:szCs w:val="20"/>
              </w:rPr>
            </w:pPr>
          </w:p>
        </w:tc>
        <w:tc>
          <w:tcPr>
            <w:tcW w:w="951" w:type="pct"/>
            <w:tcBorders>
              <w:top w:val="single" w:sz="4" w:space="0" w:color="000000"/>
              <w:left w:val="single" w:sz="4" w:space="0" w:color="000000"/>
            </w:tcBorders>
            <w:shd w:val="clear" w:color="auto" w:fill="auto"/>
            <w:tcMar>
              <w:top w:w="0" w:type="dxa"/>
              <w:bottom w:w="0" w:type="dxa"/>
            </w:tcMar>
            <w:vAlign w:val="center"/>
          </w:tcPr>
          <w:p w14:paraId="1B8D1653" w14:textId="77777777" w:rsidR="00A679EF" w:rsidRPr="00514374" w:rsidRDefault="00514374" w:rsidP="003E6BE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14374">
              <w:rPr>
                <w:rFonts w:ascii="Arial" w:hAnsi="Arial" w:cs="Arial"/>
                <w:color w:val="010000"/>
                <w:sz w:val="20"/>
              </w:rPr>
              <w:t>2023</w:t>
            </w:r>
          </w:p>
        </w:tc>
        <w:tc>
          <w:tcPr>
            <w:tcW w:w="888" w:type="pct"/>
            <w:tcBorders>
              <w:top w:val="single" w:sz="4" w:space="0" w:color="000000"/>
              <w:left w:val="single" w:sz="4" w:space="0" w:color="000000"/>
            </w:tcBorders>
            <w:shd w:val="clear" w:color="auto" w:fill="auto"/>
            <w:tcMar>
              <w:top w:w="0" w:type="dxa"/>
              <w:bottom w:w="0" w:type="dxa"/>
            </w:tcMar>
            <w:vAlign w:val="center"/>
          </w:tcPr>
          <w:p w14:paraId="0E9E36FC" w14:textId="77777777" w:rsidR="00A679EF" w:rsidRPr="00514374" w:rsidRDefault="00514374" w:rsidP="003E6BE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14374">
              <w:rPr>
                <w:rFonts w:ascii="Arial" w:hAnsi="Arial" w:cs="Arial"/>
                <w:color w:val="010000"/>
                <w:sz w:val="20"/>
              </w:rPr>
              <w:t>2022</w:t>
            </w:r>
          </w:p>
        </w:tc>
        <w:tc>
          <w:tcPr>
            <w:tcW w:w="950" w:type="pct"/>
            <w:vMerge/>
            <w:tcBorders>
              <w:top w:val="single" w:sz="4" w:space="0" w:color="000000"/>
              <w:left w:val="single" w:sz="4" w:space="0" w:color="000000"/>
            </w:tcBorders>
            <w:shd w:val="clear" w:color="auto" w:fill="auto"/>
            <w:tcMar>
              <w:top w:w="0" w:type="dxa"/>
              <w:bottom w:w="0" w:type="dxa"/>
            </w:tcMar>
            <w:vAlign w:val="center"/>
          </w:tcPr>
          <w:p w14:paraId="66B02A4D" w14:textId="77777777" w:rsidR="00A679EF" w:rsidRPr="00514374" w:rsidRDefault="00A679EF" w:rsidP="003E6BE0">
            <w:pPr>
              <w:pBdr>
                <w:top w:val="nil"/>
                <w:left w:val="nil"/>
                <w:bottom w:val="nil"/>
                <w:right w:val="nil"/>
                <w:between w:val="nil"/>
              </w:pBdr>
              <w:spacing w:after="120" w:line="360" w:lineRule="auto"/>
              <w:rPr>
                <w:rFonts w:ascii="Arial" w:eastAsia="Arial" w:hAnsi="Arial" w:cs="Arial"/>
                <w:color w:val="010000"/>
                <w:sz w:val="20"/>
                <w:szCs w:val="20"/>
              </w:rPr>
            </w:pPr>
          </w:p>
        </w:tc>
        <w:tc>
          <w:tcPr>
            <w:tcW w:w="66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53B420" w14:textId="77777777" w:rsidR="00A679EF" w:rsidRPr="00514374" w:rsidRDefault="00A679EF" w:rsidP="003E6BE0">
            <w:pPr>
              <w:pBdr>
                <w:top w:val="nil"/>
                <w:left w:val="nil"/>
                <w:bottom w:val="nil"/>
                <w:right w:val="nil"/>
                <w:between w:val="nil"/>
              </w:pBdr>
              <w:spacing w:after="120" w:line="360" w:lineRule="auto"/>
              <w:rPr>
                <w:rFonts w:ascii="Arial" w:eastAsia="Arial" w:hAnsi="Arial" w:cs="Arial"/>
                <w:color w:val="010000"/>
                <w:sz w:val="20"/>
                <w:szCs w:val="20"/>
              </w:rPr>
            </w:pPr>
          </w:p>
        </w:tc>
      </w:tr>
      <w:tr w:rsidR="00A679EF" w:rsidRPr="00514374" w14:paraId="64C9D256" w14:textId="77777777" w:rsidTr="0016563A">
        <w:tc>
          <w:tcPr>
            <w:tcW w:w="7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B9CF64" w14:textId="2D1F0CAA" w:rsidR="00A679EF" w:rsidRPr="00514374" w:rsidRDefault="00514374" w:rsidP="003E6BE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14374">
              <w:rPr>
                <w:rFonts w:ascii="Arial" w:hAnsi="Arial" w:cs="Arial"/>
                <w:color w:val="010000"/>
                <w:sz w:val="20"/>
              </w:rPr>
              <w:t>The Combined Financial Statements</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560CFD" w14:textId="77777777" w:rsidR="00A679EF" w:rsidRPr="00514374" w:rsidRDefault="00514374" w:rsidP="003E6BE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14374">
              <w:rPr>
                <w:rFonts w:ascii="Arial" w:hAnsi="Arial" w:cs="Arial"/>
                <w:color w:val="010000"/>
                <w:sz w:val="20"/>
              </w:rPr>
              <w:t>Profit after tax</w:t>
            </w:r>
          </w:p>
        </w:tc>
        <w:tc>
          <w:tcPr>
            <w:tcW w:w="9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3D21B4"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1,700,698,113</w:t>
            </w:r>
          </w:p>
        </w:tc>
        <w:tc>
          <w:tcPr>
            <w:tcW w:w="8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42970F"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(2,275,569,504)</w:t>
            </w:r>
          </w:p>
        </w:tc>
        <w:tc>
          <w:tcPr>
            <w:tcW w:w="9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A9FBC9"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3,976,267,617</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2D16A0"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(174.74%)</w:t>
            </w:r>
          </w:p>
        </w:tc>
      </w:tr>
      <w:tr w:rsidR="00A679EF" w:rsidRPr="00514374" w14:paraId="7BCFB5C0" w14:textId="77777777" w:rsidTr="0016563A">
        <w:tc>
          <w:tcPr>
            <w:tcW w:w="736"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F6D443" w14:textId="71150680" w:rsidR="00A679EF" w:rsidRPr="00514374" w:rsidRDefault="00514374" w:rsidP="003E6BE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14374">
              <w:rPr>
                <w:rFonts w:ascii="Arial" w:hAnsi="Arial" w:cs="Arial"/>
                <w:color w:val="010000"/>
                <w:sz w:val="20"/>
              </w:rPr>
              <w:t>The Consolidated Financial Statements</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39DE71" w14:textId="77777777" w:rsidR="00A679EF" w:rsidRPr="00514374" w:rsidRDefault="00514374" w:rsidP="003E6BE0">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14374">
              <w:rPr>
                <w:rFonts w:ascii="Arial" w:hAnsi="Arial" w:cs="Arial"/>
                <w:color w:val="010000"/>
                <w:sz w:val="20"/>
              </w:rPr>
              <w:t>Profit after tax</w:t>
            </w:r>
          </w:p>
        </w:tc>
        <w:tc>
          <w:tcPr>
            <w:tcW w:w="9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174F33"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(23,147,865,056)</w:t>
            </w:r>
          </w:p>
        </w:tc>
        <w:tc>
          <w:tcPr>
            <w:tcW w:w="8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460935"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(3,595,073,941)</w:t>
            </w:r>
          </w:p>
        </w:tc>
        <w:tc>
          <w:tcPr>
            <w:tcW w:w="9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DBFA23"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(19,552,791,116)</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180048"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543.88%</w:t>
            </w:r>
          </w:p>
        </w:tc>
      </w:tr>
      <w:tr w:rsidR="00A679EF" w:rsidRPr="00514374" w14:paraId="6BBC8E08" w14:textId="77777777" w:rsidTr="0016563A">
        <w:tc>
          <w:tcPr>
            <w:tcW w:w="736"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6A7C80A8" w14:textId="77777777" w:rsidR="00A679EF" w:rsidRPr="00514374" w:rsidRDefault="00A679EF" w:rsidP="003E6BE0">
            <w:pPr>
              <w:pBdr>
                <w:top w:val="nil"/>
                <w:left w:val="nil"/>
                <w:bottom w:val="nil"/>
                <w:right w:val="nil"/>
                <w:between w:val="nil"/>
              </w:pBdr>
              <w:spacing w:after="120" w:line="360" w:lineRule="auto"/>
              <w:rPr>
                <w:rFonts w:ascii="Arial" w:eastAsia="Arial" w:hAnsi="Arial" w:cs="Arial"/>
                <w:color w:val="010000"/>
                <w:sz w:val="20"/>
                <w:szCs w:val="20"/>
              </w:rPr>
            </w:pPr>
          </w:p>
        </w:tc>
        <w:tc>
          <w:tcPr>
            <w:tcW w:w="813"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2630C782" w14:textId="44418146" w:rsidR="00A679EF" w:rsidRPr="00514374" w:rsidRDefault="00514374" w:rsidP="0016563A">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14374">
              <w:rPr>
                <w:rFonts w:ascii="Arial" w:hAnsi="Arial" w:cs="Arial"/>
                <w:color w:val="010000"/>
                <w:sz w:val="20"/>
              </w:rPr>
              <w:t>Profit after tax of the</w:t>
            </w:r>
            <w:r w:rsidR="0016563A" w:rsidRPr="00514374">
              <w:rPr>
                <w:rFonts w:ascii="Arial" w:hAnsi="Arial" w:cs="Arial"/>
                <w:color w:val="010000"/>
                <w:sz w:val="20"/>
              </w:rPr>
              <w:t xml:space="preserve"> </w:t>
            </w:r>
            <w:r w:rsidRPr="00514374">
              <w:rPr>
                <w:rFonts w:ascii="Arial" w:hAnsi="Arial" w:cs="Arial"/>
                <w:color w:val="010000"/>
                <w:sz w:val="20"/>
              </w:rPr>
              <w:t>Holding company</w:t>
            </w:r>
          </w:p>
        </w:tc>
        <w:tc>
          <w:tcPr>
            <w:tcW w:w="951"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862973A"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(14,043,010,686)</w:t>
            </w:r>
          </w:p>
        </w:tc>
        <w:tc>
          <w:tcPr>
            <w:tcW w:w="888"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9504D1C"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(3,844,204,800)</w:t>
            </w:r>
          </w:p>
        </w:tc>
        <w:tc>
          <w:tcPr>
            <w:tcW w:w="950"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58AAF81F"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(10,198,805,887)</w:t>
            </w:r>
          </w:p>
        </w:tc>
        <w:tc>
          <w:tcPr>
            <w:tcW w:w="662"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31FDAC02" w14:textId="77777777" w:rsidR="00A679EF" w:rsidRPr="00514374" w:rsidRDefault="00514374" w:rsidP="002D6BF3">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14374">
              <w:rPr>
                <w:rFonts w:ascii="Arial" w:hAnsi="Arial" w:cs="Arial"/>
                <w:color w:val="010000"/>
                <w:sz w:val="20"/>
              </w:rPr>
              <w:t>265.30%</w:t>
            </w:r>
          </w:p>
        </w:tc>
      </w:tr>
    </w:tbl>
    <w:p w14:paraId="3BA1C9C9" w14:textId="5AE6B557" w:rsidR="00A679EF" w:rsidRPr="00514374" w:rsidRDefault="00514374" w:rsidP="009B6F48">
      <w:pPr>
        <w:numPr>
          <w:ilvl w:val="0"/>
          <w:numId w:val="2"/>
        </w:numPr>
        <w:pBdr>
          <w:top w:val="nil"/>
          <w:left w:val="nil"/>
          <w:bottom w:val="nil"/>
          <w:right w:val="nil"/>
          <w:between w:val="nil"/>
        </w:pBdr>
        <w:tabs>
          <w:tab w:val="left" w:pos="284"/>
          <w:tab w:val="left" w:pos="979"/>
        </w:tabs>
        <w:spacing w:after="120" w:line="360" w:lineRule="auto"/>
        <w:jc w:val="both"/>
        <w:rPr>
          <w:rFonts w:ascii="Arial" w:eastAsia="Arial" w:hAnsi="Arial" w:cs="Arial"/>
          <w:color w:val="010000"/>
          <w:sz w:val="20"/>
          <w:szCs w:val="20"/>
        </w:rPr>
      </w:pPr>
      <w:r w:rsidRPr="00514374">
        <w:rPr>
          <w:rFonts w:ascii="Arial" w:hAnsi="Arial" w:cs="Arial"/>
          <w:color w:val="010000"/>
          <w:sz w:val="20"/>
        </w:rPr>
        <w:t>There was a difference of 10% or more in the production and business results in 2023 compared to that in 2022 in the Combined and Consolidated Financial Statements, the profit after tax changed from loss in the previous period to profit in this period in the Combined Financial Statements, because:</w:t>
      </w:r>
    </w:p>
    <w:p w14:paraId="48C6E7AE" w14:textId="095E36B1" w:rsidR="00A679EF" w:rsidRPr="00514374" w:rsidRDefault="00514374" w:rsidP="009B6F48">
      <w:pPr>
        <w:numPr>
          <w:ilvl w:val="0"/>
          <w:numId w:val="4"/>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14374">
        <w:rPr>
          <w:rFonts w:ascii="Arial" w:hAnsi="Arial" w:cs="Arial"/>
          <w:color w:val="010000"/>
          <w:sz w:val="20"/>
        </w:rPr>
        <w:t>The profit in the Combined Financial Statements: VND 1,700,698,113</w:t>
      </w:r>
    </w:p>
    <w:p w14:paraId="11B2D8E1" w14:textId="21F7969B" w:rsidR="00A679EF" w:rsidRPr="00514374" w:rsidRDefault="00514374" w:rsidP="009B6F48">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14374">
        <w:rPr>
          <w:rFonts w:ascii="Arial" w:hAnsi="Arial" w:cs="Arial"/>
          <w:color w:val="010000"/>
          <w:sz w:val="20"/>
        </w:rPr>
        <w:t xml:space="preserve">In 2023, the </w:t>
      </w:r>
      <w:r w:rsidR="0016563A" w:rsidRPr="00514374">
        <w:rPr>
          <w:rFonts w:ascii="Arial" w:hAnsi="Arial" w:cs="Arial"/>
          <w:color w:val="010000"/>
          <w:sz w:val="20"/>
        </w:rPr>
        <w:t>corporation</w:t>
      </w:r>
      <w:r w:rsidRPr="00514374">
        <w:rPr>
          <w:rFonts w:ascii="Arial" w:hAnsi="Arial" w:cs="Arial"/>
          <w:color w:val="010000"/>
          <w:sz w:val="20"/>
        </w:rPr>
        <w:t xml:space="preserve"> had actively </w:t>
      </w:r>
      <w:proofErr w:type="gramStart"/>
      <w:r w:rsidR="0016563A" w:rsidRPr="00514374">
        <w:rPr>
          <w:rFonts w:ascii="Arial" w:hAnsi="Arial" w:cs="Arial"/>
          <w:color w:val="010000"/>
          <w:sz w:val="20"/>
        </w:rPr>
        <w:t>search</w:t>
      </w:r>
      <w:proofErr w:type="gramEnd"/>
      <w:r w:rsidRPr="00514374">
        <w:rPr>
          <w:rFonts w:ascii="Arial" w:hAnsi="Arial" w:cs="Arial"/>
          <w:color w:val="010000"/>
          <w:sz w:val="20"/>
        </w:rPr>
        <w:t xml:space="preserve"> for jobs, exploited service </w:t>
      </w:r>
      <w:r w:rsidR="0016563A" w:rsidRPr="00514374">
        <w:rPr>
          <w:rFonts w:ascii="Arial" w:hAnsi="Arial" w:cs="Arial"/>
          <w:color w:val="010000"/>
          <w:sz w:val="20"/>
        </w:rPr>
        <w:t>businesses</w:t>
      </w:r>
      <w:r w:rsidRPr="00514374">
        <w:rPr>
          <w:rFonts w:ascii="Arial" w:hAnsi="Arial" w:cs="Arial"/>
          <w:color w:val="010000"/>
          <w:sz w:val="20"/>
        </w:rPr>
        <w:t xml:space="preserve">; hence, the revenue reached 88% compared to the year’s plan. At the same time, the </w:t>
      </w:r>
      <w:r w:rsidR="0016563A" w:rsidRPr="00514374">
        <w:rPr>
          <w:rFonts w:ascii="Arial" w:hAnsi="Arial" w:cs="Arial"/>
          <w:color w:val="010000"/>
          <w:sz w:val="20"/>
        </w:rPr>
        <w:t>corporation</w:t>
      </w:r>
      <w:r w:rsidRPr="00514374">
        <w:rPr>
          <w:rFonts w:ascii="Arial" w:hAnsi="Arial" w:cs="Arial"/>
          <w:color w:val="010000"/>
          <w:sz w:val="20"/>
        </w:rPr>
        <w:t xml:space="preserve"> also actively recovered all the debts, </w:t>
      </w:r>
      <w:proofErr w:type="gramStart"/>
      <w:r w:rsidRPr="00514374">
        <w:rPr>
          <w:rFonts w:ascii="Arial" w:hAnsi="Arial" w:cs="Arial"/>
          <w:color w:val="010000"/>
          <w:sz w:val="20"/>
        </w:rPr>
        <w:t>balance</w:t>
      </w:r>
      <w:proofErr w:type="gramEnd"/>
      <w:r w:rsidRPr="00514374">
        <w:rPr>
          <w:rFonts w:ascii="Arial" w:hAnsi="Arial" w:cs="Arial"/>
          <w:color w:val="010000"/>
          <w:sz w:val="20"/>
        </w:rPr>
        <w:t xml:space="preserve"> the capital for the payables to the State budget, implement the reversal of provision for bad receivable debts for the debts </w:t>
      </w:r>
      <w:r w:rsidR="0016563A" w:rsidRPr="00514374">
        <w:rPr>
          <w:rFonts w:ascii="Arial" w:hAnsi="Arial" w:cs="Arial"/>
          <w:color w:val="010000"/>
          <w:sz w:val="20"/>
        </w:rPr>
        <w:t>that</w:t>
      </w:r>
      <w:r w:rsidRPr="00514374">
        <w:rPr>
          <w:rFonts w:ascii="Arial" w:hAnsi="Arial" w:cs="Arial"/>
          <w:color w:val="010000"/>
          <w:sz w:val="20"/>
        </w:rPr>
        <w:t xml:space="preserve"> had been recovered.</w:t>
      </w:r>
    </w:p>
    <w:p w14:paraId="1536DAFA" w14:textId="77777777" w:rsidR="00A679EF" w:rsidRPr="00514374" w:rsidRDefault="00514374" w:rsidP="009B6F48">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14374">
        <w:rPr>
          <w:rFonts w:ascii="Arial" w:hAnsi="Arial" w:cs="Arial"/>
          <w:color w:val="010000"/>
          <w:sz w:val="20"/>
        </w:rPr>
        <w:t>On January 31, 2023, the Prime Minister promulgated Decision No. 01/2023/QD-</w:t>
      </w:r>
      <w:proofErr w:type="spellStart"/>
      <w:r w:rsidRPr="00514374">
        <w:rPr>
          <w:rFonts w:ascii="Arial" w:hAnsi="Arial" w:cs="Arial"/>
          <w:color w:val="010000"/>
          <w:sz w:val="20"/>
        </w:rPr>
        <w:t>TTg</w:t>
      </w:r>
      <w:proofErr w:type="spellEnd"/>
      <w:r w:rsidRPr="00514374">
        <w:rPr>
          <w:rFonts w:ascii="Arial" w:hAnsi="Arial" w:cs="Arial"/>
          <w:color w:val="010000"/>
          <w:sz w:val="20"/>
        </w:rPr>
        <w:t xml:space="preserve"> on reducing 30% of the land and water surface renting price of 2022.</w:t>
      </w:r>
    </w:p>
    <w:p w14:paraId="747B54E0" w14:textId="4778CCF3" w:rsidR="00A679EF" w:rsidRPr="00514374" w:rsidRDefault="00514374" w:rsidP="009B6F48">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14374">
        <w:rPr>
          <w:rFonts w:ascii="Arial" w:hAnsi="Arial" w:cs="Arial"/>
          <w:color w:val="010000"/>
          <w:sz w:val="20"/>
        </w:rPr>
        <w:t xml:space="preserve">On April 14, 2023, the Government promulgated </w:t>
      </w:r>
      <w:r w:rsidR="0016563A" w:rsidRPr="00514374">
        <w:rPr>
          <w:rFonts w:ascii="Arial" w:hAnsi="Arial" w:cs="Arial"/>
          <w:color w:val="010000"/>
          <w:sz w:val="20"/>
        </w:rPr>
        <w:t>Decree</w:t>
      </w:r>
      <w:r w:rsidRPr="00514374">
        <w:rPr>
          <w:rFonts w:ascii="Arial" w:hAnsi="Arial" w:cs="Arial"/>
          <w:color w:val="010000"/>
          <w:sz w:val="20"/>
        </w:rPr>
        <w:t xml:space="preserve"> No. 12/2023/ND-CP on extending the time to pay the value-added tax (VAT), the corporate income tax, the personal income tax, and the </w:t>
      </w:r>
      <w:r w:rsidR="0016563A" w:rsidRPr="00514374">
        <w:rPr>
          <w:rFonts w:ascii="Arial" w:hAnsi="Arial" w:cs="Arial"/>
          <w:color w:val="010000"/>
          <w:sz w:val="20"/>
        </w:rPr>
        <w:t>land rent</w:t>
      </w:r>
      <w:r w:rsidRPr="00514374">
        <w:rPr>
          <w:rFonts w:ascii="Arial" w:hAnsi="Arial" w:cs="Arial"/>
          <w:color w:val="010000"/>
          <w:sz w:val="20"/>
        </w:rPr>
        <w:t xml:space="preserve"> in 2023. In 2023, the </w:t>
      </w:r>
      <w:r w:rsidR="0016563A" w:rsidRPr="00514374">
        <w:rPr>
          <w:rFonts w:ascii="Arial" w:hAnsi="Arial" w:cs="Arial"/>
          <w:color w:val="010000"/>
          <w:sz w:val="20"/>
        </w:rPr>
        <w:t>corporation</w:t>
      </w:r>
      <w:r w:rsidRPr="00514374">
        <w:rPr>
          <w:rFonts w:ascii="Arial" w:hAnsi="Arial" w:cs="Arial"/>
          <w:color w:val="010000"/>
          <w:sz w:val="20"/>
        </w:rPr>
        <w:t xml:space="preserve"> did not have arising fines from late tax </w:t>
      </w:r>
      <w:r w:rsidR="0016563A" w:rsidRPr="00514374">
        <w:rPr>
          <w:rFonts w:ascii="Arial" w:hAnsi="Arial" w:cs="Arial"/>
          <w:color w:val="010000"/>
          <w:sz w:val="20"/>
        </w:rPr>
        <w:t>payments</w:t>
      </w:r>
      <w:r w:rsidRPr="00514374">
        <w:rPr>
          <w:rFonts w:ascii="Arial" w:hAnsi="Arial" w:cs="Arial"/>
          <w:color w:val="010000"/>
          <w:sz w:val="20"/>
        </w:rPr>
        <w:t xml:space="preserve">, leading to the decrease of other expenses and general and administrative </w:t>
      </w:r>
      <w:r w:rsidR="0016563A" w:rsidRPr="00514374">
        <w:rPr>
          <w:rFonts w:ascii="Arial" w:hAnsi="Arial" w:cs="Arial"/>
          <w:color w:val="010000"/>
          <w:sz w:val="20"/>
        </w:rPr>
        <w:t>expenses</w:t>
      </w:r>
      <w:r w:rsidRPr="00514374">
        <w:rPr>
          <w:rFonts w:ascii="Arial" w:hAnsi="Arial" w:cs="Arial"/>
          <w:color w:val="010000"/>
          <w:sz w:val="20"/>
        </w:rPr>
        <w:t xml:space="preserve"> year on year.</w:t>
      </w:r>
    </w:p>
    <w:p w14:paraId="3A740E16" w14:textId="7FA528B8" w:rsidR="00A679EF" w:rsidRPr="00514374" w:rsidRDefault="00514374" w:rsidP="009B6F48">
      <w:pPr>
        <w:pBdr>
          <w:top w:val="nil"/>
          <w:left w:val="nil"/>
          <w:bottom w:val="nil"/>
          <w:right w:val="nil"/>
          <w:between w:val="nil"/>
        </w:pBdr>
        <w:tabs>
          <w:tab w:val="left" w:pos="284"/>
          <w:tab w:val="left" w:pos="5742"/>
          <w:tab w:val="left" w:pos="6883"/>
        </w:tabs>
        <w:spacing w:after="120" w:line="360" w:lineRule="auto"/>
        <w:jc w:val="both"/>
        <w:rPr>
          <w:rFonts w:ascii="Arial" w:eastAsia="Arial" w:hAnsi="Arial" w:cs="Arial"/>
          <w:color w:val="010000"/>
          <w:sz w:val="20"/>
          <w:szCs w:val="20"/>
        </w:rPr>
      </w:pPr>
      <w:r w:rsidRPr="00514374">
        <w:rPr>
          <w:rFonts w:ascii="Arial" w:hAnsi="Arial" w:cs="Arial"/>
          <w:color w:val="010000"/>
          <w:sz w:val="20"/>
        </w:rPr>
        <w:t xml:space="preserve">With </w:t>
      </w:r>
      <w:r w:rsidR="0016563A" w:rsidRPr="00514374">
        <w:rPr>
          <w:rFonts w:ascii="Arial" w:hAnsi="Arial" w:cs="Arial"/>
          <w:color w:val="010000"/>
          <w:sz w:val="20"/>
        </w:rPr>
        <w:t>the</w:t>
      </w:r>
      <w:r w:rsidRPr="00514374">
        <w:rPr>
          <w:rFonts w:ascii="Arial" w:hAnsi="Arial" w:cs="Arial"/>
          <w:color w:val="010000"/>
          <w:sz w:val="20"/>
        </w:rPr>
        <w:t xml:space="preserve"> above reasons, the profit after tax in the Report on the production and business activities results in 2023 was a profit and changed from 10% above compared to that in 2022 in the Combined Financial Statements. </w:t>
      </w:r>
    </w:p>
    <w:p w14:paraId="114D2D73" w14:textId="7B098D2D" w:rsidR="00A679EF" w:rsidRPr="00514374" w:rsidRDefault="00514374" w:rsidP="009B6F48">
      <w:pPr>
        <w:numPr>
          <w:ilvl w:val="0"/>
          <w:numId w:val="3"/>
        </w:numPr>
        <w:pBdr>
          <w:top w:val="nil"/>
          <w:left w:val="nil"/>
          <w:bottom w:val="nil"/>
          <w:right w:val="nil"/>
          <w:between w:val="nil"/>
        </w:pBdr>
        <w:tabs>
          <w:tab w:val="left" w:pos="284"/>
          <w:tab w:val="left" w:pos="778"/>
        </w:tabs>
        <w:spacing w:after="120" w:line="360" w:lineRule="auto"/>
        <w:jc w:val="both"/>
        <w:rPr>
          <w:rFonts w:ascii="Arial" w:eastAsia="Arial" w:hAnsi="Arial" w:cs="Arial"/>
          <w:color w:val="010000"/>
          <w:sz w:val="20"/>
          <w:szCs w:val="20"/>
        </w:rPr>
      </w:pPr>
      <w:r w:rsidRPr="00514374">
        <w:rPr>
          <w:rFonts w:ascii="Arial" w:hAnsi="Arial" w:cs="Arial"/>
          <w:color w:val="010000"/>
          <w:sz w:val="20"/>
        </w:rPr>
        <w:t>Profit after tax in the Consolidated Financial Statements turns into loss</w:t>
      </w:r>
      <w:r w:rsidR="0016563A" w:rsidRPr="00514374">
        <w:rPr>
          <w:rFonts w:ascii="Arial" w:hAnsi="Arial" w:cs="Arial"/>
          <w:color w:val="010000"/>
          <w:sz w:val="20"/>
        </w:rPr>
        <w:t xml:space="preserve"> of</w:t>
      </w:r>
      <w:r w:rsidRPr="00514374">
        <w:rPr>
          <w:rFonts w:ascii="Arial" w:hAnsi="Arial" w:cs="Arial"/>
          <w:color w:val="010000"/>
          <w:sz w:val="20"/>
        </w:rPr>
        <w:t xml:space="preserve"> VND 23,147,865,056, because:</w:t>
      </w:r>
    </w:p>
    <w:p w14:paraId="58D544E1" w14:textId="3906BA63" w:rsidR="00A679EF" w:rsidRPr="00514374" w:rsidRDefault="00514374" w:rsidP="009B6F48">
      <w:pPr>
        <w:pBdr>
          <w:top w:val="nil"/>
          <w:left w:val="nil"/>
          <w:bottom w:val="nil"/>
          <w:right w:val="nil"/>
          <w:between w:val="nil"/>
        </w:pBdr>
        <w:tabs>
          <w:tab w:val="left" w:pos="284"/>
          <w:tab w:val="right" w:pos="9936"/>
        </w:tabs>
        <w:spacing w:after="120" w:line="360" w:lineRule="auto"/>
        <w:jc w:val="both"/>
        <w:rPr>
          <w:rFonts w:ascii="Arial" w:eastAsia="Arial" w:hAnsi="Arial" w:cs="Arial"/>
          <w:color w:val="010000"/>
          <w:sz w:val="20"/>
          <w:szCs w:val="20"/>
        </w:rPr>
      </w:pPr>
      <w:r w:rsidRPr="00514374">
        <w:rPr>
          <w:rFonts w:ascii="Arial" w:hAnsi="Arial" w:cs="Arial"/>
          <w:color w:val="010000"/>
          <w:sz w:val="20"/>
        </w:rPr>
        <w:t xml:space="preserve">In 2023, the profit after tax in the income statements of four subsidiaries of the </w:t>
      </w:r>
      <w:r w:rsidR="0016563A" w:rsidRPr="00514374">
        <w:rPr>
          <w:rFonts w:ascii="Arial" w:hAnsi="Arial" w:cs="Arial"/>
          <w:color w:val="010000"/>
          <w:sz w:val="20"/>
        </w:rPr>
        <w:t>holding</w:t>
      </w:r>
      <w:r w:rsidRPr="00514374">
        <w:rPr>
          <w:rFonts w:ascii="Arial" w:hAnsi="Arial" w:cs="Arial"/>
          <w:color w:val="010000"/>
          <w:sz w:val="20"/>
        </w:rPr>
        <w:t xml:space="preserve"> company</w:t>
      </w:r>
      <w:r w:rsidR="0016563A" w:rsidRPr="00514374">
        <w:rPr>
          <w:rFonts w:ascii="Arial" w:hAnsi="Arial" w:cs="Arial"/>
          <w:color w:val="010000"/>
          <w:sz w:val="20"/>
        </w:rPr>
        <w:t xml:space="preserve"> (owning </w:t>
      </w:r>
      <w:r w:rsidR="0016563A" w:rsidRPr="00514374">
        <w:rPr>
          <w:rFonts w:ascii="Arial" w:hAnsi="Arial" w:cs="Arial"/>
          <w:color w:val="010000"/>
          <w:sz w:val="20"/>
        </w:rPr>
        <w:lastRenderedPageBreak/>
        <w:t>100% of charter capital)</w:t>
      </w:r>
      <w:r w:rsidRPr="00514374">
        <w:rPr>
          <w:rFonts w:ascii="Arial" w:hAnsi="Arial" w:cs="Arial"/>
          <w:color w:val="010000"/>
          <w:sz w:val="20"/>
        </w:rPr>
        <w:t>, including Construction and Material Equipment Trade Company Limited No. 27, The Import-Export Manufactured Service and Countryside Development Company Limited, Minh Khai Lock Joint Stock Company (with a 67.47% contributed capital) and Song Chu Construction and Machinery Joint Stock Company (with a 51.39%</w:t>
      </w:r>
      <w:r w:rsidR="0016563A" w:rsidRPr="00514374">
        <w:rPr>
          <w:rFonts w:ascii="Arial" w:hAnsi="Arial" w:cs="Arial"/>
          <w:color w:val="010000"/>
          <w:sz w:val="20"/>
        </w:rPr>
        <w:t xml:space="preserve"> </w:t>
      </w:r>
      <w:r w:rsidRPr="00514374">
        <w:rPr>
          <w:rFonts w:ascii="Arial" w:hAnsi="Arial" w:cs="Arial"/>
          <w:color w:val="010000"/>
          <w:sz w:val="20"/>
        </w:rPr>
        <w:t xml:space="preserve">contributed capital) reported losses in their business results due to </w:t>
      </w:r>
      <w:r w:rsidR="0016563A" w:rsidRPr="00514374">
        <w:rPr>
          <w:rFonts w:ascii="Arial" w:hAnsi="Arial" w:cs="Arial"/>
          <w:color w:val="010000"/>
          <w:sz w:val="20"/>
        </w:rPr>
        <w:t>few transfers</w:t>
      </w:r>
      <w:r w:rsidRPr="00514374">
        <w:rPr>
          <w:rFonts w:ascii="Arial" w:hAnsi="Arial" w:cs="Arial"/>
          <w:color w:val="010000"/>
          <w:sz w:val="20"/>
        </w:rPr>
        <w:t xml:space="preserve"> of projects from the previous year, </w:t>
      </w:r>
      <w:r w:rsidR="0016563A" w:rsidRPr="00514374">
        <w:rPr>
          <w:rFonts w:ascii="Arial" w:hAnsi="Arial" w:cs="Arial"/>
          <w:color w:val="010000"/>
          <w:sz w:val="20"/>
        </w:rPr>
        <w:t xml:space="preserve">no </w:t>
      </w:r>
      <w:r w:rsidRPr="00514374">
        <w:rPr>
          <w:rFonts w:ascii="Arial" w:hAnsi="Arial" w:cs="Arial"/>
          <w:color w:val="010000"/>
          <w:sz w:val="20"/>
        </w:rPr>
        <w:t>new contracts in 2023</w:t>
      </w:r>
      <w:r w:rsidR="0016563A" w:rsidRPr="00514374">
        <w:rPr>
          <w:rFonts w:ascii="Arial" w:hAnsi="Arial" w:cs="Arial"/>
          <w:color w:val="010000"/>
          <w:sz w:val="20"/>
        </w:rPr>
        <w:t xml:space="preserve">, leading to </w:t>
      </w:r>
      <w:r w:rsidRPr="00514374">
        <w:rPr>
          <w:rFonts w:ascii="Arial" w:hAnsi="Arial" w:cs="Arial"/>
          <w:color w:val="010000"/>
          <w:sz w:val="20"/>
        </w:rPr>
        <w:t xml:space="preserve">lower revenue for the units, as well as high interest expenses, which led to insufficient gross profit to offset general and administrative expenses. In 2023, the profit after tax of the Holding company and 03 subsidiaries was little and not enough to make up for the loss of </w:t>
      </w:r>
      <w:r w:rsidR="0016563A" w:rsidRPr="00514374">
        <w:rPr>
          <w:rFonts w:ascii="Arial" w:hAnsi="Arial" w:cs="Arial"/>
          <w:color w:val="010000"/>
          <w:sz w:val="20"/>
        </w:rPr>
        <w:t xml:space="preserve">the other </w:t>
      </w:r>
      <w:r w:rsidRPr="00514374">
        <w:rPr>
          <w:rFonts w:ascii="Arial" w:hAnsi="Arial" w:cs="Arial"/>
          <w:color w:val="010000"/>
          <w:sz w:val="20"/>
        </w:rPr>
        <w:t>04 subsidiaries. Therefore, there was a loss in profit after tax in the Report on the production and business results in the Consolidated Financial Statements 2023.</w:t>
      </w:r>
    </w:p>
    <w:p w14:paraId="08C05D1C" w14:textId="10D48FC8" w:rsidR="00A679EF" w:rsidRPr="00514374" w:rsidRDefault="00514374" w:rsidP="009B6F4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14374">
        <w:rPr>
          <w:rFonts w:ascii="Arial" w:hAnsi="Arial" w:cs="Arial"/>
          <w:color w:val="010000"/>
          <w:sz w:val="20"/>
        </w:rPr>
        <w:t>With the above situation, the profit after tax in the Report on the production and business results in 2023 was a loss and changed from 10% or more compared to that in 2022 in the Consolidated Financial Statements.</w:t>
      </w:r>
    </w:p>
    <w:p w14:paraId="56C0A7D4" w14:textId="39291C47" w:rsidR="00A679EF" w:rsidRPr="00514374" w:rsidRDefault="00514374" w:rsidP="009B6F48">
      <w:pPr>
        <w:numPr>
          <w:ilvl w:val="0"/>
          <w:numId w:val="2"/>
        </w:numPr>
        <w:pBdr>
          <w:top w:val="nil"/>
          <w:left w:val="nil"/>
          <w:bottom w:val="nil"/>
          <w:right w:val="nil"/>
          <w:between w:val="nil"/>
        </w:pBdr>
        <w:tabs>
          <w:tab w:val="left" w:pos="284"/>
          <w:tab w:val="left" w:pos="841"/>
        </w:tabs>
        <w:spacing w:after="120" w:line="360" w:lineRule="auto"/>
        <w:jc w:val="both"/>
        <w:rPr>
          <w:rFonts w:ascii="Arial" w:eastAsia="Arial" w:hAnsi="Arial" w:cs="Arial"/>
          <w:color w:val="010000"/>
          <w:sz w:val="20"/>
          <w:szCs w:val="20"/>
        </w:rPr>
      </w:pPr>
      <w:r w:rsidRPr="00514374">
        <w:rPr>
          <w:rFonts w:ascii="Arial" w:hAnsi="Arial" w:cs="Arial"/>
          <w:color w:val="010000"/>
          <w:sz w:val="20"/>
        </w:rPr>
        <w:t>There was a difference of 5% or more in the Audited Combined and Consolidated Financial Statements 2023 compared to the disclosed ones:</w:t>
      </w:r>
    </w:p>
    <w:p w14:paraId="37F353BF" w14:textId="364D200D" w:rsidR="00A679EF" w:rsidRPr="00514374" w:rsidRDefault="00514374" w:rsidP="009B6F48">
      <w:pPr>
        <w:numPr>
          <w:ilvl w:val="0"/>
          <w:numId w:val="3"/>
        </w:numPr>
        <w:pBdr>
          <w:top w:val="nil"/>
          <w:left w:val="nil"/>
          <w:bottom w:val="nil"/>
          <w:right w:val="nil"/>
          <w:between w:val="nil"/>
        </w:pBdr>
        <w:tabs>
          <w:tab w:val="left" w:pos="284"/>
          <w:tab w:val="left" w:pos="758"/>
        </w:tabs>
        <w:spacing w:after="120" w:line="360" w:lineRule="auto"/>
        <w:jc w:val="both"/>
        <w:rPr>
          <w:rFonts w:ascii="Arial" w:eastAsia="Arial" w:hAnsi="Arial" w:cs="Arial"/>
          <w:color w:val="010000"/>
          <w:sz w:val="20"/>
          <w:szCs w:val="20"/>
        </w:rPr>
      </w:pPr>
      <w:r w:rsidRPr="00514374">
        <w:rPr>
          <w:rFonts w:ascii="Arial" w:hAnsi="Arial" w:cs="Arial"/>
          <w:color w:val="010000"/>
          <w:sz w:val="20"/>
        </w:rPr>
        <w:t xml:space="preserve">After audit, there were current corporate income tax expenses and change in profit of 06 subsidiaries: Ha Bac Construction Machinery Joint Stock Company No. 2, Song Chu Construction </w:t>
      </w:r>
      <w:proofErr w:type="gramStart"/>
      <w:r w:rsidRPr="00514374">
        <w:rPr>
          <w:rFonts w:ascii="Arial" w:hAnsi="Arial" w:cs="Arial"/>
          <w:color w:val="010000"/>
          <w:sz w:val="20"/>
        </w:rPr>
        <w:t>And</w:t>
      </w:r>
      <w:proofErr w:type="gramEnd"/>
      <w:r w:rsidRPr="00514374">
        <w:rPr>
          <w:rFonts w:ascii="Arial" w:hAnsi="Arial" w:cs="Arial"/>
          <w:color w:val="010000"/>
          <w:sz w:val="20"/>
        </w:rPr>
        <w:t xml:space="preserve"> Machinery Joint Stock Company, Construction Machinery &amp; Water Electric Machine Installing JSC COMAEL, Minh Khai Lock Joint Stock Company, Construction and Material Equipment Trade Company Limited No. 27, and The Import-Export Manufactured Service and Countryside Development Company Limited.</w:t>
      </w:r>
    </w:p>
    <w:p w14:paraId="0CE0972A" w14:textId="77777777" w:rsidR="00A679EF" w:rsidRPr="00514374" w:rsidRDefault="00514374" w:rsidP="009B6F48">
      <w:pPr>
        <w:numPr>
          <w:ilvl w:val="0"/>
          <w:numId w:val="2"/>
        </w:numPr>
        <w:pBdr>
          <w:top w:val="nil"/>
          <w:left w:val="nil"/>
          <w:bottom w:val="nil"/>
          <w:right w:val="nil"/>
          <w:between w:val="nil"/>
        </w:pBdr>
        <w:tabs>
          <w:tab w:val="left" w:pos="284"/>
          <w:tab w:val="left" w:pos="879"/>
        </w:tabs>
        <w:spacing w:after="120" w:line="360" w:lineRule="auto"/>
        <w:jc w:val="both"/>
        <w:rPr>
          <w:rFonts w:ascii="Arial" w:eastAsia="Arial" w:hAnsi="Arial" w:cs="Arial"/>
          <w:color w:val="010000"/>
          <w:sz w:val="20"/>
          <w:szCs w:val="20"/>
        </w:rPr>
      </w:pPr>
      <w:r w:rsidRPr="00514374">
        <w:rPr>
          <w:rFonts w:ascii="Arial" w:hAnsi="Arial" w:cs="Arial"/>
          <w:color w:val="010000"/>
          <w:sz w:val="20"/>
        </w:rPr>
        <w:t>The auditor's qualified opinion:</w:t>
      </w:r>
    </w:p>
    <w:p w14:paraId="1F13D265" w14:textId="5009E682" w:rsidR="00A679EF" w:rsidRPr="00514374" w:rsidRDefault="00514374" w:rsidP="009B6F48">
      <w:pPr>
        <w:numPr>
          <w:ilvl w:val="0"/>
          <w:numId w:val="3"/>
        </w:numPr>
        <w:pBdr>
          <w:top w:val="nil"/>
          <w:left w:val="nil"/>
          <w:bottom w:val="nil"/>
          <w:right w:val="nil"/>
          <w:between w:val="nil"/>
        </w:pBdr>
        <w:tabs>
          <w:tab w:val="left" w:pos="284"/>
          <w:tab w:val="left" w:pos="755"/>
        </w:tabs>
        <w:spacing w:after="120" w:line="360" w:lineRule="auto"/>
        <w:jc w:val="both"/>
        <w:rPr>
          <w:rFonts w:ascii="Arial" w:eastAsia="Arial" w:hAnsi="Arial" w:cs="Arial"/>
          <w:color w:val="010000"/>
          <w:sz w:val="20"/>
          <w:szCs w:val="20"/>
        </w:rPr>
      </w:pPr>
      <w:r w:rsidRPr="00514374">
        <w:rPr>
          <w:rFonts w:ascii="Arial" w:hAnsi="Arial" w:cs="Arial"/>
          <w:color w:val="010000"/>
          <w:sz w:val="20"/>
        </w:rPr>
        <w:t>At the time of preparing the Financial Statements, some customers had not signed confirmation of overdue receivable and payable debts for more than 6 months. The corporation assessed the recoverability of these debts in the next fiscal year, so a provision of approximately VND 9.1 billion has not been made.</w:t>
      </w:r>
    </w:p>
    <w:p w14:paraId="567B1FA4" w14:textId="77777777" w:rsidR="00A679EF" w:rsidRPr="00514374" w:rsidRDefault="00514374" w:rsidP="009B6F48">
      <w:pPr>
        <w:numPr>
          <w:ilvl w:val="0"/>
          <w:numId w:val="3"/>
        </w:numPr>
        <w:pBdr>
          <w:top w:val="nil"/>
          <w:left w:val="nil"/>
          <w:bottom w:val="nil"/>
          <w:right w:val="nil"/>
          <w:between w:val="nil"/>
        </w:pBdr>
        <w:tabs>
          <w:tab w:val="left" w:pos="284"/>
          <w:tab w:val="left" w:pos="762"/>
        </w:tabs>
        <w:spacing w:after="120" w:line="360" w:lineRule="auto"/>
        <w:jc w:val="both"/>
        <w:rPr>
          <w:rFonts w:ascii="Arial" w:eastAsia="Arial" w:hAnsi="Arial" w:cs="Arial"/>
          <w:color w:val="010000"/>
          <w:sz w:val="20"/>
          <w:szCs w:val="20"/>
        </w:rPr>
      </w:pPr>
      <w:r w:rsidRPr="00514374">
        <w:rPr>
          <w:rFonts w:ascii="Arial" w:hAnsi="Arial" w:cs="Arial"/>
          <w:color w:val="010000"/>
          <w:sz w:val="20"/>
        </w:rPr>
        <w:t>As of December 31, 2023, the subsidiaries had not conducted physical inventory counting and net realizable value assessment for their inventories, with a total amount of VND 14.1 billion, including VND 9.7 billion for Construction Machinery &amp; Water Electric Machine Installing JSC, VND 1.6 billion for Minh Khai Lock Joint Stock Company, VND 1.6 billion for Thai Binh Mechanical and Construction Joint Stock Company, and VND 1.2 billion for Ha Bac Construction Machinery Joint Stock Company No. 2.</w:t>
      </w:r>
    </w:p>
    <w:p w14:paraId="4C79C433" w14:textId="77777777" w:rsidR="00A679EF" w:rsidRPr="00514374" w:rsidRDefault="00514374" w:rsidP="009B6F48">
      <w:pPr>
        <w:numPr>
          <w:ilvl w:val="0"/>
          <w:numId w:val="3"/>
        </w:numPr>
        <w:pBdr>
          <w:top w:val="nil"/>
          <w:left w:val="nil"/>
          <w:bottom w:val="nil"/>
          <w:right w:val="nil"/>
          <w:between w:val="nil"/>
        </w:pBdr>
        <w:tabs>
          <w:tab w:val="left" w:pos="284"/>
          <w:tab w:val="left" w:pos="773"/>
        </w:tabs>
        <w:spacing w:after="120" w:line="360" w:lineRule="auto"/>
        <w:jc w:val="both"/>
        <w:rPr>
          <w:rFonts w:ascii="Arial" w:eastAsia="Arial" w:hAnsi="Arial" w:cs="Arial"/>
          <w:color w:val="010000"/>
          <w:sz w:val="20"/>
          <w:szCs w:val="20"/>
        </w:rPr>
      </w:pPr>
      <w:r w:rsidRPr="00514374">
        <w:rPr>
          <w:rFonts w:ascii="Arial" w:hAnsi="Arial" w:cs="Arial"/>
          <w:color w:val="010000"/>
          <w:sz w:val="20"/>
        </w:rPr>
        <w:t xml:space="preserve">Sufficient appropriate audit evidence could not be obtained regarding the balances of receivables of the subsidiary companies as of December 31, 2023, which amounted to VND 48,464,509,402 (compared to VND 50,061,128,064 as of December 31, 2022) and payables as of December 31, 2023, which amounted to VND 36,406,506,270 (compared to VND 39,920,558,164 as of December 31, 2022). Construction Machinery &amp; Water Electric Machine Installing JSC COMAEL, Minh Khai Lock Joint Stock Company had not </w:t>
      </w:r>
      <w:proofErr w:type="gramStart"/>
      <w:r w:rsidRPr="00514374">
        <w:rPr>
          <w:rFonts w:ascii="Arial" w:hAnsi="Arial" w:cs="Arial"/>
          <w:color w:val="010000"/>
          <w:sz w:val="20"/>
        </w:rPr>
        <w:t>handle</w:t>
      </w:r>
      <w:proofErr w:type="gramEnd"/>
      <w:r w:rsidRPr="00514374">
        <w:rPr>
          <w:rFonts w:ascii="Arial" w:hAnsi="Arial" w:cs="Arial"/>
          <w:color w:val="010000"/>
          <w:sz w:val="20"/>
        </w:rPr>
        <w:t xml:space="preserve"> the shortage assets with the value of: VND 2.066 billion;</w:t>
      </w:r>
    </w:p>
    <w:p w14:paraId="7668A866" w14:textId="792EAFB3" w:rsidR="00A679EF" w:rsidRPr="00514374" w:rsidRDefault="00514374" w:rsidP="009B6F48">
      <w:pPr>
        <w:numPr>
          <w:ilvl w:val="0"/>
          <w:numId w:val="3"/>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14374">
        <w:rPr>
          <w:rFonts w:ascii="Arial" w:hAnsi="Arial" w:cs="Arial"/>
          <w:color w:val="010000"/>
          <w:sz w:val="20"/>
        </w:rPr>
        <w:t xml:space="preserve">At the time of preparing the report, The Import-Export Manufactured Service and Countryside </w:t>
      </w:r>
      <w:r w:rsidRPr="00514374">
        <w:rPr>
          <w:rFonts w:ascii="Arial" w:hAnsi="Arial" w:cs="Arial"/>
          <w:color w:val="010000"/>
          <w:sz w:val="20"/>
        </w:rPr>
        <w:lastRenderedPageBreak/>
        <w:t>Development Company Limited., a subsidiary of the holding company, received notifications regarding land use fees for the "</w:t>
      </w:r>
      <w:proofErr w:type="spellStart"/>
      <w:r w:rsidRPr="00514374">
        <w:rPr>
          <w:rFonts w:ascii="Arial" w:hAnsi="Arial" w:cs="Arial"/>
          <w:color w:val="010000"/>
          <w:sz w:val="20"/>
        </w:rPr>
        <w:t>Decoimex</w:t>
      </w:r>
      <w:proofErr w:type="spellEnd"/>
      <w:r w:rsidRPr="00514374">
        <w:rPr>
          <w:rFonts w:ascii="Arial" w:hAnsi="Arial" w:cs="Arial"/>
          <w:color w:val="010000"/>
          <w:sz w:val="20"/>
        </w:rPr>
        <w:t xml:space="preserve"> Expanded Residential Project in Ward 6 and Ward 9, Vung Tau City" from the Vung Tau - Con Dao Tax Department. The amount of land use fees that should be paid by December 31, </w:t>
      </w:r>
      <w:proofErr w:type="gramStart"/>
      <w:r w:rsidRPr="00514374">
        <w:rPr>
          <w:rFonts w:ascii="Arial" w:hAnsi="Arial" w:cs="Arial"/>
          <w:color w:val="010000"/>
          <w:sz w:val="20"/>
        </w:rPr>
        <w:t>2023</w:t>
      </w:r>
      <w:proofErr w:type="gramEnd"/>
      <w:r w:rsidRPr="00514374">
        <w:rPr>
          <w:rFonts w:ascii="Arial" w:hAnsi="Arial" w:cs="Arial"/>
          <w:color w:val="010000"/>
          <w:sz w:val="20"/>
        </w:rPr>
        <w:t xml:space="preserve"> is VND 136,220,567,156 and the late payment </w:t>
      </w:r>
      <w:proofErr w:type="gramStart"/>
      <w:r w:rsidRPr="00514374">
        <w:rPr>
          <w:rFonts w:ascii="Arial" w:hAnsi="Arial" w:cs="Arial"/>
          <w:color w:val="010000"/>
          <w:sz w:val="20"/>
        </w:rPr>
        <w:t>are</w:t>
      </w:r>
      <w:proofErr w:type="gramEnd"/>
      <w:r w:rsidRPr="00514374">
        <w:rPr>
          <w:rFonts w:ascii="Arial" w:hAnsi="Arial" w:cs="Arial"/>
          <w:color w:val="010000"/>
          <w:sz w:val="20"/>
        </w:rPr>
        <w:t>:</w:t>
      </w:r>
      <w:r w:rsidR="003E6BE0" w:rsidRPr="00514374">
        <w:rPr>
          <w:rFonts w:ascii="Arial" w:hAnsi="Arial" w:cs="Arial"/>
          <w:color w:val="010000"/>
          <w:sz w:val="20"/>
        </w:rPr>
        <w:t xml:space="preserve"> </w:t>
      </w:r>
      <w:r w:rsidRPr="00514374">
        <w:rPr>
          <w:rFonts w:ascii="Arial" w:hAnsi="Arial" w:cs="Arial"/>
          <w:color w:val="010000"/>
          <w:sz w:val="20"/>
        </w:rPr>
        <w:t>VND 110,377,724,121. Accordingly, the company did not accept the figures provided by the local tax agency because the tax department calculated the land use fees based on the entire public land area.</w:t>
      </w:r>
      <w:r w:rsidR="003E6BE0" w:rsidRPr="00514374">
        <w:rPr>
          <w:rFonts w:ascii="Arial" w:hAnsi="Arial" w:cs="Arial"/>
          <w:color w:val="010000"/>
          <w:sz w:val="20"/>
        </w:rPr>
        <w:t xml:space="preserve"> </w:t>
      </w:r>
      <w:r w:rsidRPr="00514374">
        <w:rPr>
          <w:rFonts w:ascii="Arial" w:hAnsi="Arial" w:cs="Arial"/>
          <w:color w:val="010000"/>
          <w:sz w:val="20"/>
        </w:rPr>
        <w:t xml:space="preserve">The company has sent a document to the tax authorities but has not received a response. Therefore, the figures presented in the Consolidated Financial Statements for the fiscal year ending December 31, 2023, may be subject to change based on the final decision of the tax authorities. </w:t>
      </w:r>
    </w:p>
    <w:sectPr w:rsidR="00A679EF" w:rsidRPr="00514374" w:rsidSect="00555AB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FC4"/>
    <w:multiLevelType w:val="multilevel"/>
    <w:tmpl w:val="96EECBE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3D781C"/>
    <w:multiLevelType w:val="multilevel"/>
    <w:tmpl w:val="4210B9D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1A758D"/>
    <w:multiLevelType w:val="multilevel"/>
    <w:tmpl w:val="F334C1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04655DD"/>
    <w:multiLevelType w:val="multilevel"/>
    <w:tmpl w:val="798428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681515286">
    <w:abstractNumId w:val="1"/>
  </w:num>
  <w:num w:numId="2" w16cid:durableId="1279139637">
    <w:abstractNumId w:val="3"/>
  </w:num>
  <w:num w:numId="3" w16cid:durableId="273950958">
    <w:abstractNumId w:val="2"/>
  </w:num>
  <w:num w:numId="4" w16cid:durableId="211505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EF"/>
    <w:rsid w:val="0016563A"/>
    <w:rsid w:val="002229BD"/>
    <w:rsid w:val="002D6BF3"/>
    <w:rsid w:val="003E6BE0"/>
    <w:rsid w:val="00514374"/>
    <w:rsid w:val="00555AB9"/>
    <w:rsid w:val="009B6F48"/>
    <w:rsid w:val="00A679E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4FB4C"/>
  <w15:docId w15:val="{9AA38F95-B6AA-4DE5-873F-8ED37D65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C32D4E"/>
      <w:sz w:val="17"/>
      <w:szCs w:val="17"/>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ahoma" w:eastAsia="Tahoma" w:hAnsi="Tahoma" w:cs="Tahoma"/>
      <w:b w:val="0"/>
      <w:bCs w:val="0"/>
      <w:i w:val="0"/>
      <w:iCs w:val="0"/>
      <w:smallCaps w:val="0"/>
      <w:strike w:val="0"/>
      <w:sz w:val="36"/>
      <w:szCs w:val="36"/>
      <w:u w:val="none"/>
      <w:shd w:val="clear" w:color="auto" w:fill="auto"/>
    </w:rPr>
  </w:style>
  <w:style w:type="character" w:customStyle="1" w:styleId="Vnbnnidung2">
    <w:name w:val="Văn bản nội dung (2)_"/>
    <w:basedOn w:val="DefaultParagraphFont"/>
    <w:link w:val="Vnbnnidung20"/>
    <w:rPr>
      <w:rFonts w:ascii="Segoe UI" w:eastAsia="Segoe UI" w:hAnsi="Segoe UI" w:cs="Segoe UI"/>
      <w:b w:val="0"/>
      <w:bCs w:val="0"/>
      <w:i w:val="0"/>
      <w:iCs w:val="0"/>
      <w:smallCaps w:val="0"/>
      <w:strike w:val="0"/>
      <w:sz w:val="16"/>
      <w:szCs w:val="16"/>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ind w:firstLine="880"/>
    </w:pPr>
    <w:rPr>
      <w:rFonts w:ascii="Times New Roman" w:eastAsia="Times New Roman" w:hAnsi="Times New Roman" w:cs="Times New Roman"/>
      <w:i/>
      <w:iCs/>
      <w:sz w:val="26"/>
      <w:szCs w:val="26"/>
    </w:rPr>
  </w:style>
  <w:style w:type="paragraph" w:customStyle="1" w:styleId="Vnbnnidung50">
    <w:name w:val="Văn bản nội dung (5)"/>
    <w:basedOn w:val="Normal"/>
    <w:link w:val="Vnbnnidung5"/>
    <w:pPr>
      <w:jc w:val="center"/>
    </w:pPr>
    <w:rPr>
      <w:rFonts w:ascii="Arial" w:eastAsia="Arial" w:hAnsi="Arial" w:cs="Arial"/>
      <w:b/>
      <w:bCs/>
      <w:color w:val="C32D4E"/>
      <w:sz w:val="17"/>
      <w:szCs w:val="17"/>
    </w:rPr>
  </w:style>
  <w:style w:type="paragraph" w:customStyle="1" w:styleId="Khc0">
    <w:name w:val="Khác"/>
    <w:basedOn w:val="Normal"/>
    <w:link w:val="Khc"/>
    <w:pPr>
      <w:spacing w:line="276"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66" w:lineRule="auto"/>
    </w:pPr>
    <w:rPr>
      <w:rFonts w:ascii="Tahoma" w:eastAsia="Tahoma" w:hAnsi="Tahoma" w:cs="Tahoma"/>
      <w:sz w:val="36"/>
      <w:szCs w:val="36"/>
    </w:rPr>
  </w:style>
  <w:style w:type="paragraph" w:customStyle="1" w:styleId="Vnbnnidung20">
    <w:name w:val="Văn bản nội dung (2)"/>
    <w:basedOn w:val="Normal"/>
    <w:link w:val="Vnbnnidung2"/>
    <w:rPr>
      <w:rFonts w:ascii="Segoe UI" w:eastAsia="Segoe UI" w:hAnsi="Segoe UI" w:cs="Segoe UI"/>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LACkiXkXqNV55VPXTFgA3eF9Hg==">CgMxLjAyCGguZ2pkZ3hzOAByITE0bmhReWtSOC1ldTVnRE1ZQ2FwSmVRQS1Gd3hqTTRGaw==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5</cp:revision>
  <dcterms:created xsi:type="dcterms:W3CDTF">2024-04-04T03:53:00Z</dcterms:created>
  <dcterms:modified xsi:type="dcterms:W3CDTF">2024-04-05T07:44:00Z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c071f65107d477c9cd2ceb988af8e2f6af14bc3ead9f5f4f1bc25a5b2a934c72</vt:lpwstr>
  </property>
</Properties>
</file>