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1864" w14:textId="5F5C8EF2" w:rsidR="00211AF5" w:rsidRDefault="00DC14BC" w:rsidP="00F53C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VC6:</w:t>
      </w:r>
      <w:r>
        <w:rPr>
          <w:rFonts w:ascii="Arial" w:hAnsi="Arial"/>
          <w:b/>
          <w:color w:val="010000"/>
          <w:sz w:val="20"/>
        </w:rPr>
        <w:t xml:space="preserve"> Explanation on difference in business results 2023 </w:t>
      </w:r>
      <w:r w:rsidR="00F53CC1">
        <w:rPr>
          <w:rFonts w:ascii="Arial" w:hAnsi="Arial"/>
          <w:b/>
          <w:color w:val="010000"/>
          <w:sz w:val="20"/>
        </w:rPr>
        <w:t>year-on-year</w:t>
      </w:r>
    </w:p>
    <w:p w14:paraId="089DDF90" w14:textId="5AECBD90" w:rsidR="00211AF5" w:rsidRDefault="00DC14BC" w:rsidP="00F53C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28, 2024, </w:t>
      </w:r>
      <w:proofErr w:type="spellStart"/>
      <w:r>
        <w:rPr>
          <w:rFonts w:ascii="Arial" w:hAnsi="Arial"/>
          <w:color w:val="010000"/>
          <w:sz w:val="20"/>
        </w:rPr>
        <w:t>Visicons</w:t>
      </w:r>
      <w:proofErr w:type="spellEnd"/>
      <w:r>
        <w:rPr>
          <w:rFonts w:ascii="Arial" w:hAnsi="Arial"/>
          <w:color w:val="010000"/>
          <w:sz w:val="20"/>
        </w:rPr>
        <w:t xml:space="preserve"> Construction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Investment Joint Stock Company announced Official </w:t>
      </w:r>
      <w:r w:rsidR="00F53CC1">
        <w:rPr>
          <w:rFonts w:ascii="Arial" w:hAnsi="Arial"/>
          <w:color w:val="010000"/>
          <w:sz w:val="20"/>
        </w:rPr>
        <w:t>Dispatch No. 118/CV-TCKT on the e</w:t>
      </w:r>
      <w:r>
        <w:rPr>
          <w:rFonts w:ascii="Arial" w:hAnsi="Arial"/>
          <w:color w:val="010000"/>
          <w:sz w:val="20"/>
        </w:rPr>
        <w:t xml:space="preserve">xplanation on difference in business results of 2023 compared to that of 2022 as follows: </w:t>
      </w:r>
    </w:p>
    <w:p w14:paraId="2B963BE1" w14:textId="77777777" w:rsidR="00211AF5" w:rsidRDefault="00DC14BC" w:rsidP="00F53C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9"/>
        <w:gridCol w:w="2050"/>
        <w:gridCol w:w="2041"/>
        <w:gridCol w:w="1437"/>
      </w:tblGrid>
      <w:tr w:rsidR="00211AF5" w14:paraId="6E3987A1" w14:textId="77777777">
        <w:tc>
          <w:tcPr>
            <w:tcW w:w="3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3F2CA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6173D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20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62932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7392F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</w:tr>
      <w:tr w:rsidR="00211AF5" w14:paraId="41E425DF" w14:textId="77777777">
        <w:tc>
          <w:tcPr>
            <w:tcW w:w="3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5173D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on the Financial Statements of the Holding Company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93A6E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15,780,462,773</w:t>
            </w:r>
          </w:p>
        </w:tc>
        <w:tc>
          <w:tcPr>
            <w:tcW w:w="20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35B70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8,910,495,521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7AA7B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+77.10%</w:t>
            </w:r>
          </w:p>
        </w:tc>
      </w:tr>
      <w:tr w:rsidR="00211AF5" w14:paraId="3C157FE9" w14:textId="77777777">
        <w:tc>
          <w:tcPr>
            <w:tcW w:w="3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DB925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the Consolidated Financial Statements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4B82E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15,783,351,454</w:t>
            </w:r>
          </w:p>
        </w:tc>
        <w:tc>
          <w:tcPr>
            <w:tcW w:w="20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A7A39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8,912,609,740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FE1C8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+77.09%</w:t>
            </w:r>
          </w:p>
        </w:tc>
      </w:tr>
      <w:tr w:rsidR="00211AF5" w14:paraId="46EEB50A" w14:textId="77777777">
        <w:tc>
          <w:tcPr>
            <w:tcW w:w="34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8E7B6" w14:textId="77777777" w:rsidR="00211AF5" w:rsidRDefault="00DC14BC" w:rsidP="00F53C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which: Profit after tax of Holding Company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DF154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15,782,340,417</w:t>
            </w:r>
          </w:p>
        </w:tc>
        <w:tc>
          <w:tcPr>
            <w:tcW w:w="20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016E7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8,911,869,763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B91A2" w14:textId="77777777" w:rsidR="00211AF5" w:rsidRDefault="00DC14BC" w:rsidP="00F5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+77.09%</w:t>
            </w:r>
          </w:p>
        </w:tc>
      </w:tr>
    </w:tbl>
    <w:p w14:paraId="4EA41B85" w14:textId="77777777" w:rsidR="00211AF5" w:rsidRDefault="00DC14BC" w:rsidP="00F53C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profit after tax in 2023 increased compared to that of 2022 because: Revenue from goods sales and service provision of the Holding Company increased year-on-year</w:t>
      </w:r>
    </w:p>
    <w:p w14:paraId="08C0A3D2" w14:textId="77777777" w:rsidR="00211AF5" w:rsidRDefault="00211AF5" w:rsidP="00F53CC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211AF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3EA"/>
    <w:multiLevelType w:val="multilevel"/>
    <w:tmpl w:val="0D7C96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F5"/>
    <w:rsid w:val="00211AF5"/>
    <w:rsid w:val="00A7268D"/>
    <w:rsid w:val="00DC14BC"/>
    <w:rsid w:val="00F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AACD"/>
  <w15:docId w15:val="{54A9A2CB-7DC3-4450-BE43-0490D4A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53A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D7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77A85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7A85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329" w:lineRule="auto"/>
      <w:ind w:left="2940" w:firstLine="580"/>
    </w:pPr>
    <w:rPr>
      <w:rFonts w:ascii="Times New Roman" w:eastAsia="Times New Roman" w:hAnsi="Times New Roman" w:cs="Times New Roman"/>
      <w:color w:val="20253A"/>
      <w:sz w:val="20"/>
      <w:szCs w:val="20"/>
    </w:rPr>
  </w:style>
  <w:style w:type="paragraph" w:customStyle="1" w:styleId="Other0">
    <w:name w:val="Other"/>
    <w:basedOn w:val="Normal"/>
    <w:link w:val="Other"/>
    <w:pPr>
      <w:spacing w:line="30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300"/>
    </w:pPr>
    <w:rPr>
      <w:rFonts w:ascii="Times New Roman" w:eastAsia="Times New Roman" w:hAnsi="Times New Roman" w:cs="Times New Roman"/>
      <w:i/>
      <w:iCs/>
      <w:color w:val="585D70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color w:val="A77A85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A77A85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lVrMWFiQNXS5JAaaWC0Pvd8xlA==">CgMxLjA4AHIhMVZVSzhsZ3lXME9MbXlWb1U5RFJfUkZiYks1NmN5ZmZR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2024-04-04T04:08:00Z</dcterms:created>
  <dcterms:modified xsi:type="dcterms:W3CDTF">2024-04-04T04:08:00Z</dcterms:modified>
</cp:coreProperties>
</file>