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BC7A5D9" w:rsidR="00E61828" w:rsidRDefault="0062426D" w:rsidP="000935E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 xml:space="preserve">VCP: Explanation </w:t>
      </w:r>
      <w:r w:rsidR="000935EF">
        <w:rPr>
          <w:rFonts w:ascii="Arial" w:hAnsi="Arial"/>
          <w:b/>
          <w:color w:val="010000"/>
          <w:sz w:val="20"/>
        </w:rPr>
        <w:t>of</w:t>
      </w:r>
      <w:r>
        <w:rPr>
          <w:rFonts w:ascii="Arial" w:hAnsi="Arial"/>
          <w:b/>
          <w:color w:val="010000"/>
          <w:sz w:val="20"/>
        </w:rPr>
        <w:t xml:space="preserve"> the difference in profit 2023</w:t>
      </w:r>
    </w:p>
    <w:p w14:paraId="00000002" w14:textId="5FE08DBD" w:rsidR="00E61828" w:rsidRDefault="0062426D" w:rsidP="000935E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March 30, 2024, </w:t>
      </w:r>
      <w:proofErr w:type="spellStart"/>
      <w:r>
        <w:rPr>
          <w:rFonts w:ascii="Arial" w:hAnsi="Arial"/>
          <w:color w:val="010000"/>
          <w:sz w:val="20"/>
        </w:rPr>
        <w:t>Vinaconex</w:t>
      </w:r>
      <w:proofErr w:type="spellEnd"/>
      <w:r>
        <w:rPr>
          <w:rFonts w:ascii="Arial" w:hAnsi="Arial"/>
          <w:color w:val="010000"/>
          <w:sz w:val="20"/>
        </w:rPr>
        <w:t xml:space="preserve"> Power Development and Construction Investment Joint Stock Company announced Official Dispatch No. 32/2023/CV-TCKH </w:t>
      </w:r>
      <w:r w:rsidR="000935EF">
        <w:rPr>
          <w:rFonts w:ascii="Arial" w:hAnsi="Arial"/>
          <w:color w:val="010000"/>
          <w:sz w:val="20"/>
        </w:rPr>
        <w:t>to explain</w:t>
      </w:r>
      <w:r>
        <w:rPr>
          <w:rFonts w:ascii="Arial" w:hAnsi="Arial"/>
          <w:color w:val="010000"/>
          <w:sz w:val="20"/>
        </w:rPr>
        <w:t xml:space="preserve"> the change in profit of the </w:t>
      </w:r>
      <w:r w:rsidR="00300DE0">
        <w:rPr>
          <w:rFonts w:ascii="Arial" w:hAnsi="Arial"/>
          <w:color w:val="010000"/>
          <w:sz w:val="20"/>
        </w:rPr>
        <w:t xml:space="preserve">Audited Separate Financial Statements </w:t>
      </w:r>
      <w:r>
        <w:rPr>
          <w:rFonts w:ascii="Arial" w:hAnsi="Arial"/>
          <w:color w:val="010000"/>
          <w:sz w:val="20"/>
        </w:rPr>
        <w:t>2023 as follows:</w:t>
      </w:r>
    </w:p>
    <w:p w14:paraId="00000003" w14:textId="77777777" w:rsidR="00E61828" w:rsidRDefault="0062426D" w:rsidP="000935E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>
        <w:rPr>
          <w:rFonts w:ascii="Arial" w:hAnsi="Arial"/>
          <w:color w:val="010000"/>
          <w:sz w:val="20"/>
        </w:rPr>
        <w:t>Vinaconex</w:t>
      </w:r>
      <w:proofErr w:type="spellEnd"/>
      <w:r>
        <w:rPr>
          <w:rFonts w:ascii="Arial" w:hAnsi="Arial"/>
          <w:color w:val="010000"/>
          <w:sz w:val="20"/>
        </w:rPr>
        <w:t xml:space="preserve"> Power Development and Construction Investment Joint Stock Company explained as follows: The Company's main production and business sector is electricity production, which is a production and business sector that mainly depends on weather changes and hydrological conditions.</w:t>
      </w:r>
    </w:p>
    <w:p w14:paraId="00000004" w14:textId="736E5DFB" w:rsidR="00E61828" w:rsidRDefault="0062426D" w:rsidP="000935E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In 2023, the profit after tax in the Company's </w:t>
      </w:r>
      <w:r w:rsidR="00A344C4">
        <w:rPr>
          <w:rFonts w:ascii="Arial" w:hAnsi="Arial"/>
          <w:color w:val="010000"/>
          <w:sz w:val="20"/>
        </w:rPr>
        <w:t xml:space="preserve">Income Statement </w:t>
      </w:r>
      <w:r>
        <w:rPr>
          <w:rFonts w:ascii="Arial" w:hAnsi="Arial"/>
          <w:color w:val="010000"/>
          <w:sz w:val="20"/>
        </w:rPr>
        <w:t>reached: VND 88,119,651,452, a decrease of 76.02% compared to the profit after tax in the 2022 financial statements, which reached: VND 367,519,659,526, mainly due to the following reasons:</w:t>
      </w:r>
    </w:p>
    <w:p w14:paraId="00000005" w14:textId="28CF9EF7" w:rsidR="00E61828" w:rsidRDefault="0062426D" w:rsidP="000935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9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Electricity generation revenue in 2023 reached: VND 304,655,928,675, a decrease of 51.54% </w:t>
      </w:r>
      <w:r w:rsidR="00300DE0">
        <w:rPr>
          <w:rFonts w:ascii="Arial" w:hAnsi="Arial"/>
          <w:color w:val="010000"/>
          <w:sz w:val="20"/>
        </w:rPr>
        <w:t>over the same period last year</w:t>
      </w:r>
      <w:r>
        <w:rPr>
          <w:rFonts w:ascii="Arial" w:hAnsi="Arial"/>
          <w:color w:val="010000"/>
          <w:sz w:val="20"/>
        </w:rPr>
        <w:t>, which reached: VND 628,733,950,776;</w:t>
      </w:r>
    </w:p>
    <w:p w14:paraId="00000006" w14:textId="16BFD4D6" w:rsidR="00E61828" w:rsidRDefault="0062426D" w:rsidP="000935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Financial expenses in 2023 reached: VND 101,815,207,371, an increase of 10.88% </w:t>
      </w:r>
      <w:r w:rsidR="00300DE0">
        <w:rPr>
          <w:rFonts w:ascii="Arial" w:hAnsi="Arial"/>
          <w:color w:val="010000"/>
          <w:sz w:val="20"/>
        </w:rPr>
        <w:t>over the same period last year</w:t>
      </w:r>
      <w:r>
        <w:rPr>
          <w:rFonts w:ascii="Arial" w:hAnsi="Arial"/>
          <w:color w:val="010000"/>
          <w:sz w:val="20"/>
        </w:rPr>
        <w:t>, which reached: VND 91,824,286,197.</w:t>
      </w:r>
    </w:p>
    <w:p w14:paraId="0000000B" w14:textId="3875F548" w:rsidR="00E61828" w:rsidRDefault="00E61828" w:rsidP="000935EF">
      <w:pPr>
        <w:pBdr>
          <w:top w:val="nil"/>
          <w:left w:val="nil"/>
          <w:bottom w:val="single" w:sz="6" w:space="1" w:color="auto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  <w:u w:val="single"/>
        </w:rPr>
      </w:pPr>
    </w:p>
    <w:p w14:paraId="091CFF2C" w14:textId="77777777" w:rsidR="00300DE0" w:rsidRPr="00300DE0" w:rsidRDefault="00300DE0" w:rsidP="000935EF">
      <w:pPr>
        <w:pBdr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  <w:u w:val="single"/>
        </w:rPr>
      </w:pPr>
    </w:p>
    <w:p w14:paraId="0000000C" w14:textId="1E96657E" w:rsidR="00E61828" w:rsidRDefault="0062426D" w:rsidP="000935E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March 30, 2024, </w:t>
      </w:r>
      <w:proofErr w:type="spellStart"/>
      <w:r>
        <w:rPr>
          <w:rFonts w:ascii="Arial" w:hAnsi="Arial"/>
          <w:color w:val="010000"/>
          <w:sz w:val="20"/>
        </w:rPr>
        <w:t>Vinaconex</w:t>
      </w:r>
      <w:proofErr w:type="spellEnd"/>
      <w:r>
        <w:rPr>
          <w:rFonts w:ascii="Arial" w:hAnsi="Arial"/>
          <w:color w:val="010000"/>
          <w:sz w:val="20"/>
        </w:rPr>
        <w:t xml:space="preserve"> Power Development and Construction Investment Joint Stock Company announced Official Dispatch No. 33/2023/CV-TCKH </w:t>
      </w:r>
      <w:bookmarkStart w:id="0" w:name="_GoBack"/>
      <w:bookmarkEnd w:id="0"/>
      <w:r>
        <w:rPr>
          <w:rFonts w:ascii="Arial" w:hAnsi="Arial"/>
          <w:color w:val="010000"/>
          <w:sz w:val="20"/>
        </w:rPr>
        <w:t xml:space="preserve">explaining the change in profit of the </w:t>
      </w:r>
      <w:r w:rsidR="00A344C4">
        <w:rPr>
          <w:rFonts w:ascii="Arial" w:hAnsi="Arial"/>
          <w:color w:val="010000"/>
          <w:sz w:val="20"/>
        </w:rPr>
        <w:t xml:space="preserve">Audited Consolidated Financial Statements </w:t>
      </w:r>
      <w:r>
        <w:rPr>
          <w:rFonts w:ascii="Arial" w:hAnsi="Arial"/>
          <w:color w:val="010000"/>
          <w:sz w:val="20"/>
        </w:rPr>
        <w:t>2023.</w:t>
      </w:r>
    </w:p>
    <w:p w14:paraId="0000000D" w14:textId="77777777" w:rsidR="00E61828" w:rsidRDefault="0062426D" w:rsidP="000935E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>
        <w:rPr>
          <w:rFonts w:ascii="Arial" w:hAnsi="Arial"/>
          <w:color w:val="010000"/>
          <w:sz w:val="20"/>
        </w:rPr>
        <w:t>Vinaconex</w:t>
      </w:r>
      <w:proofErr w:type="spellEnd"/>
      <w:r>
        <w:rPr>
          <w:rFonts w:ascii="Arial" w:hAnsi="Arial"/>
          <w:color w:val="010000"/>
          <w:sz w:val="20"/>
        </w:rPr>
        <w:t xml:space="preserve"> Power Development and Construction Investment Joint Stock Company explained as follows: The Company's main production and business sector is electricity production, which is a production and business sector that mainly depends on weather changes and hydrological conditions.</w:t>
      </w:r>
    </w:p>
    <w:p w14:paraId="0000000E" w14:textId="7C8D5332" w:rsidR="00E61828" w:rsidRDefault="0062426D" w:rsidP="000935E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In 2023, the profit after tax in the Company's </w:t>
      </w:r>
      <w:r w:rsidR="00A344C4">
        <w:rPr>
          <w:rFonts w:ascii="Arial" w:hAnsi="Arial"/>
          <w:color w:val="010000"/>
          <w:sz w:val="20"/>
        </w:rPr>
        <w:t xml:space="preserve">Consolidated Income Statement </w:t>
      </w:r>
      <w:r>
        <w:rPr>
          <w:rFonts w:ascii="Arial" w:hAnsi="Arial"/>
          <w:color w:val="010000"/>
          <w:sz w:val="20"/>
        </w:rPr>
        <w:t xml:space="preserve">reached: VND 136,584,821,651, a decrease of 69.24% compared to the profit after tax in the </w:t>
      </w:r>
      <w:r w:rsidR="00A344C4">
        <w:rPr>
          <w:rFonts w:ascii="Arial" w:hAnsi="Arial"/>
          <w:color w:val="010000"/>
          <w:sz w:val="20"/>
        </w:rPr>
        <w:t xml:space="preserve">Consolidated Financial Statements </w:t>
      </w:r>
      <w:r>
        <w:rPr>
          <w:rFonts w:ascii="Arial" w:hAnsi="Arial"/>
          <w:color w:val="010000"/>
          <w:sz w:val="20"/>
        </w:rPr>
        <w:t>2022, which reached: VND 443,982,238,259, mainly due to the following reasons:</w:t>
      </w:r>
    </w:p>
    <w:p w14:paraId="0000000F" w14:textId="1535583C" w:rsidR="00E61828" w:rsidRDefault="0062426D" w:rsidP="000935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Consolidated electricity generation revenue in 2023 reached: VND 615,978,730,191, a decrease of 37.14% </w:t>
      </w:r>
      <w:r w:rsidR="00A344C4">
        <w:rPr>
          <w:rFonts w:ascii="Arial" w:hAnsi="Arial"/>
          <w:color w:val="010000"/>
          <w:sz w:val="20"/>
        </w:rPr>
        <w:t>year-on-year</w:t>
      </w:r>
      <w:r>
        <w:rPr>
          <w:rFonts w:ascii="Arial" w:hAnsi="Arial"/>
          <w:color w:val="010000"/>
          <w:sz w:val="20"/>
        </w:rPr>
        <w:t>, which reached: VND 979,910,568,288;</w:t>
      </w:r>
    </w:p>
    <w:p w14:paraId="00000010" w14:textId="69C052C2" w:rsidR="00E61828" w:rsidRDefault="0062426D" w:rsidP="000935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4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Consolidated financial expenses in 2023 reached: VND 183,112,034,554, an increase of 6.11% </w:t>
      </w:r>
      <w:r w:rsidR="00C177D1">
        <w:rPr>
          <w:rFonts w:ascii="Arial" w:hAnsi="Arial"/>
          <w:color w:val="010000"/>
          <w:sz w:val="20"/>
        </w:rPr>
        <w:t>year-on-year</w:t>
      </w:r>
      <w:r>
        <w:rPr>
          <w:rFonts w:ascii="Arial" w:hAnsi="Arial"/>
          <w:color w:val="010000"/>
          <w:sz w:val="20"/>
        </w:rPr>
        <w:t>, which reached: VND 172,575,690,896.</w:t>
      </w:r>
    </w:p>
    <w:p w14:paraId="00000011" w14:textId="77777777" w:rsidR="00E61828" w:rsidRDefault="00E61828" w:rsidP="000935E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p w14:paraId="00000012" w14:textId="77777777" w:rsidR="00E61828" w:rsidRDefault="00E61828" w:rsidP="000935EF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E61828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E521B"/>
    <w:multiLevelType w:val="multilevel"/>
    <w:tmpl w:val="467A0DE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C1C1C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FD4351A"/>
    <w:multiLevelType w:val="multilevel"/>
    <w:tmpl w:val="D78CD6F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C1C1C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28"/>
    <w:rsid w:val="000935EF"/>
    <w:rsid w:val="00300DE0"/>
    <w:rsid w:val="0062426D"/>
    <w:rsid w:val="00A344C4"/>
    <w:rsid w:val="00B55510"/>
    <w:rsid w:val="00C04C76"/>
    <w:rsid w:val="00C177D1"/>
    <w:rsid w:val="00E6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D24B42"/>
  <w15:docId w15:val="{A13AA8CB-BC6E-41B4-A246-D675E9CA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/>
      <w:strike w:val="0"/>
      <w:sz w:val="30"/>
      <w:szCs w:val="3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1C1C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1C1C"/>
      <w:sz w:val="22"/>
      <w:szCs w:val="22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801F31"/>
      <w:sz w:val="16"/>
      <w:szCs w:val="16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spacing w:line="235" w:lineRule="auto"/>
      <w:jc w:val="center"/>
    </w:pPr>
    <w:rPr>
      <w:rFonts w:ascii="Arial" w:eastAsia="Arial" w:hAnsi="Arial" w:cs="Arial"/>
      <w:sz w:val="22"/>
      <w:szCs w:val="22"/>
    </w:rPr>
  </w:style>
  <w:style w:type="paragraph" w:customStyle="1" w:styleId="Heading11">
    <w:name w:val="Heading #1"/>
    <w:basedOn w:val="Normal"/>
    <w:link w:val="Heading10"/>
    <w:pPr>
      <w:spacing w:line="185" w:lineRule="auto"/>
      <w:ind w:firstLine="450"/>
      <w:outlineLvl w:val="0"/>
    </w:pPr>
    <w:rPr>
      <w:rFonts w:ascii="Arial" w:eastAsia="Arial" w:hAnsi="Arial" w:cs="Arial"/>
      <w:smallCaps/>
      <w:sz w:val="30"/>
      <w:szCs w:val="30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sz w:val="9"/>
      <w:szCs w:val="9"/>
    </w:rPr>
  </w:style>
  <w:style w:type="paragraph" w:customStyle="1" w:styleId="Bodytext20">
    <w:name w:val="Body text (2)"/>
    <w:basedOn w:val="Normal"/>
    <w:link w:val="Bodytext2"/>
    <w:pPr>
      <w:spacing w:line="322" w:lineRule="auto"/>
      <w:ind w:firstLine="400"/>
    </w:pPr>
    <w:rPr>
      <w:rFonts w:ascii="Times New Roman" w:eastAsia="Times New Roman" w:hAnsi="Times New Roman" w:cs="Times New Roman"/>
      <w:color w:val="1C1C1C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324" w:lineRule="auto"/>
    </w:pPr>
    <w:rPr>
      <w:rFonts w:ascii="Times New Roman" w:eastAsia="Times New Roman" w:hAnsi="Times New Roman" w:cs="Times New Roman"/>
      <w:color w:val="1C1C1C"/>
      <w:sz w:val="22"/>
      <w:szCs w:val="22"/>
    </w:rPr>
  </w:style>
  <w:style w:type="paragraph" w:customStyle="1" w:styleId="Heading21">
    <w:name w:val="Heading #2"/>
    <w:basedOn w:val="Normal"/>
    <w:link w:val="Heading20"/>
    <w:pPr>
      <w:ind w:left="5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50">
    <w:name w:val="Body text (5)"/>
    <w:basedOn w:val="Normal"/>
    <w:link w:val="Bodytext5"/>
    <w:pPr>
      <w:jc w:val="right"/>
    </w:pPr>
    <w:rPr>
      <w:rFonts w:ascii="Arial" w:eastAsia="Arial" w:hAnsi="Arial" w:cs="Arial"/>
      <w:color w:val="801F31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Mq6Sdq7w1Sy+enpdvtThDc71vg==">CgMxLjA4AHIhMTExSnMzVzZ0OW1WTWZnYk1Mc0MtVl9tTEx6RlFUX3Nq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1923</Characters>
  <Application>Microsoft Office Word</Application>
  <DocSecurity>0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8</cp:revision>
  <dcterms:created xsi:type="dcterms:W3CDTF">2024-04-03T08:05:00Z</dcterms:created>
  <dcterms:modified xsi:type="dcterms:W3CDTF">2024-04-04T08:33:00Z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537725ad42295a4b9ecb8414b94a76b01b995682dd6518fc7997ba11b8a96c58</vt:lpwstr>
  </property>
</Properties>
</file>