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8623FAE" w:rsidR="001F39C6" w:rsidRDefault="00303A50" w:rsidP="009147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VET: Board Resolution</w:t>
      </w:r>
    </w:p>
    <w:p w14:paraId="00000002" w14:textId="77777777" w:rsidR="001F39C6" w:rsidRDefault="00303A50" w:rsidP="009147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April 2, 2024, </w:t>
      </w:r>
      <w:proofErr w:type="spellStart"/>
      <w:r>
        <w:rPr>
          <w:rFonts w:ascii="Arial" w:hAnsi="Arial"/>
          <w:color w:val="010000"/>
          <w:sz w:val="20"/>
        </w:rPr>
        <w:t>Navetco</w:t>
      </w:r>
      <w:proofErr w:type="spellEnd"/>
      <w:r>
        <w:rPr>
          <w:rFonts w:ascii="Arial" w:hAnsi="Arial"/>
          <w:color w:val="010000"/>
          <w:sz w:val="20"/>
        </w:rPr>
        <w:t xml:space="preserve"> National Veterinary Joint Stock Company announced Resolution No. 192/NQ-HDQT as follows:</w:t>
      </w:r>
    </w:p>
    <w:p w14:paraId="00000003" w14:textId="77777777" w:rsidR="001F39C6" w:rsidRDefault="00303A50" w:rsidP="009147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1: Approve the contents submitted to the Annual General Meeting of Shareholders 2024 as follows:</w:t>
      </w:r>
    </w:p>
    <w:p w14:paraId="00000004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Annual General Meeting of Shareholders 2024 Agenda</w:t>
      </w:r>
    </w:p>
    <w:p w14:paraId="00000005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Operational regulation of the Annual General Meeting of Shareholders 2024;</w:t>
      </w:r>
    </w:p>
    <w:p w14:paraId="00000006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The Report on activities of the Board of Directors in 2023 and Operational Plan for 2024;</w:t>
      </w:r>
    </w:p>
    <w:p w14:paraId="00000007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Report of the Board of Management on the Company's business and production activities in 2023 and the business and production plan for 2024.</w:t>
      </w:r>
    </w:p>
    <w:p w14:paraId="00000008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Report on activities of the Supervisory Board in 2023 and the operational plan for 2024;</w:t>
      </w:r>
    </w:p>
    <w:p w14:paraId="00000009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approving the Audited Financial Statements 2023.</w:t>
      </w:r>
    </w:p>
    <w:p w14:paraId="0000000A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approving the profit distribution plan in 2023 and the profit distribution plan for 2024</w:t>
      </w:r>
    </w:p>
    <w:p w14:paraId="0000000B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the Production and Business Plan for 2024;</w:t>
      </w:r>
    </w:p>
    <w:p w14:paraId="0000000C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to approve the provisional remuneration for the Board of Directors and the Supervisory Board in 2024.</w:t>
      </w:r>
    </w:p>
    <w:p w14:paraId="0000000D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approving the selection of an audit company for 2024.</w:t>
      </w:r>
    </w:p>
    <w:p w14:paraId="0000000E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changing the Company's head office.</w:t>
      </w:r>
    </w:p>
    <w:p w14:paraId="0000000F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approving the supplement of business lines of the Company;</w:t>
      </w:r>
    </w:p>
    <w:p w14:paraId="00000010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amending and supplementing the Company's Charter.</w:t>
      </w:r>
    </w:p>
    <w:p w14:paraId="00000011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Proposal on approving the form of capital mobilization.</w:t>
      </w:r>
    </w:p>
    <w:p w14:paraId="00000012" w14:textId="77777777" w:rsidR="001F39C6" w:rsidRDefault="00303A50" w:rsidP="00914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Draft Resolution of the Annual General Meeting of Shareholders 2024.</w:t>
      </w:r>
    </w:p>
    <w:p w14:paraId="00000013" w14:textId="6E40D1DC" w:rsidR="001F39C6" w:rsidRDefault="00303A50" w:rsidP="009147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2: The Board of Directors assigns the Chair to direct the implementation and proactively adjust the contents of organizing the Annual General Meeting of Shareholders 2024 </w:t>
      </w:r>
      <w:r w:rsidR="00914703">
        <w:rPr>
          <w:rFonts w:ascii="Arial" w:hAnsi="Arial"/>
          <w:color w:val="010000"/>
          <w:sz w:val="20"/>
        </w:rPr>
        <w:t>following</w:t>
      </w:r>
      <w:r>
        <w:rPr>
          <w:rFonts w:ascii="Arial" w:hAnsi="Arial"/>
          <w:color w:val="010000"/>
          <w:sz w:val="20"/>
        </w:rPr>
        <w:t xml:space="preserve"> current regulations.</w:t>
      </w:r>
    </w:p>
    <w:p w14:paraId="00000014" w14:textId="47BFE0EE" w:rsidR="001F39C6" w:rsidRDefault="00303A50" w:rsidP="009147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3: This Resolution takes effect from the date of its signing. The Board of Directors, the Board of Management of </w:t>
      </w:r>
      <w:proofErr w:type="spellStart"/>
      <w:r>
        <w:rPr>
          <w:rFonts w:ascii="Arial" w:hAnsi="Arial"/>
          <w:color w:val="010000"/>
          <w:sz w:val="20"/>
        </w:rPr>
        <w:t>Navetco</w:t>
      </w:r>
      <w:proofErr w:type="spellEnd"/>
      <w:r>
        <w:rPr>
          <w:rFonts w:ascii="Arial" w:hAnsi="Arial"/>
          <w:color w:val="010000"/>
          <w:sz w:val="20"/>
        </w:rPr>
        <w:t xml:space="preserve"> National Veterinary Joint Stock Company, relevant departments</w:t>
      </w:r>
      <w:r w:rsidR="00914703">
        <w:rPr>
          <w:rFonts w:ascii="Arial" w:hAnsi="Arial"/>
          <w:color w:val="010000"/>
          <w:sz w:val="20"/>
        </w:rPr>
        <w:t>,</w:t>
      </w:r>
      <w:r>
        <w:rPr>
          <w:rFonts w:ascii="Arial" w:hAnsi="Arial"/>
          <w:color w:val="010000"/>
          <w:sz w:val="20"/>
        </w:rPr>
        <w:t xml:space="preserve"> and individuals are responsible for implementing this Resolution.</w:t>
      </w:r>
      <w:bookmarkStart w:id="0" w:name="_GoBack"/>
      <w:bookmarkEnd w:id="0"/>
    </w:p>
    <w:sectPr w:rsidR="001F39C6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76E55"/>
    <w:multiLevelType w:val="multilevel"/>
    <w:tmpl w:val="17D0CA4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C6"/>
    <w:rsid w:val="001F39C6"/>
    <w:rsid w:val="00303A50"/>
    <w:rsid w:val="009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D2E7F"/>
  <w15:docId w15:val="{1F3948B9-E34C-416E-99BE-4C5138AE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Z5YpZqJBnrzyxYr4LNdEcg8XSA==">CgMxLjA4AHIhMTJGODVSYWVCdlJ1bU5kem5WMTdkc1poSk83QllxYy01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28</Lines>
  <Paragraphs>22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2024-04-03T08:29:00Z</dcterms:created>
  <dcterms:modified xsi:type="dcterms:W3CDTF">2024-04-04T08:40:00Z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fb2f8fe940db40f03b23ebddbe6f1729b4d9ac129d58784de8bf8ec2479e0322</vt:lpwstr>
  </property>
</Properties>
</file>