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Pr>
          <w:rFonts w:ascii="Arial" w:hAnsi="Arial"/>
          <w:b/>
          <w:color w:val="010000"/>
          <w:sz w:val="20"/>
        </w:rPr>
        <w:t>VNR: Board Resolution</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On April 02, 2024, Vietnam National Reinsurance Corporation announced Resolution No. 05/2024/NQ-HDQT as follows:</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 xml:space="preserve">Approve the Financial Statements 2023 audited by PWC (Vietnam) Limited and submitted to the General Meeting </w:t>
      </w:r>
      <w:r>
        <w:rPr>
          <w:rFonts w:ascii="Arial" w:hAnsi="Arial"/>
          <w:color w:val="010000"/>
          <w:sz w:val="20"/>
        </w:rPr>
        <w:t>for approval:</w:t>
      </w:r>
    </w:p>
    <w:p w:rsidR="00F73FC7" w:rsidRDefault="0050419D" w:rsidP="0050419D">
      <w:pPr>
        <w:numPr>
          <w:ilvl w:val="1"/>
          <w:numId w:val="1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Separate Financial Statements 2023 with a number of main targets:</w:t>
      </w:r>
    </w:p>
    <w:p w:rsidR="00F73FC7" w:rsidRDefault="0050419D" w:rsidP="0050419D">
      <w:pPr>
        <w:numPr>
          <w:ilvl w:val="0"/>
          <w:numId w:val="16"/>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assets: VND 7,713,256,003,162</w:t>
      </w:r>
    </w:p>
    <w:p w:rsidR="00F73FC7" w:rsidRDefault="0050419D" w:rsidP="0050419D">
      <w:pPr>
        <w:numPr>
          <w:ilvl w:val="0"/>
          <w:numId w:val="16"/>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Owners’ </w:t>
      </w:r>
      <w:r>
        <w:rPr>
          <w:rFonts w:ascii="Arial" w:hAnsi="Arial"/>
          <w:color w:val="010000"/>
          <w:sz w:val="20"/>
        </w:rPr>
        <w:t>equity: VND 3,445,920,422,237</w:t>
      </w:r>
    </w:p>
    <w:p w:rsidR="00F73FC7" w:rsidRDefault="0050419D" w:rsidP="0050419D">
      <w:pPr>
        <w:numPr>
          <w:ilvl w:val="0"/>
          <w:numId w:val="16"/>
        </w:numPr>
        <w:pBdr>
          <w:top w:val="nil"/>
          <w:left w:val="nil"/>
          <w:bottom w:val="nil"/>
          <w:right w:val="nil"/>
          <w:between w:val="nil"/>
        </w:pBdr>
        <w:tabs>
          <w:tab w:val="left" w:pos="450"/>
          <w:tab w:val="left" w:pos="844"/>
        </w:tabs>
        <w:spacing w:after="120" w:line="360" w:lineRule="auto"/>
        <w:ind w:left="0" w:firstLine="0"/>
        <w:jc w:val="both"/>
        <w:rPr>
          <w:rFonts w:ascii="Arial" w:eastAsia="Arial" w:hAnsi="Arial" w:cs="Arial"/>
          <w:color w:val="010000"/>
          <w:sz w:val="20"/>
          <w:szCs w:val="20"/>
        </w:rPr>
      </w:pPr>
      <w:r>
        <w:rPr>
          <w:rFonts w:ascii="Arial" w:hAnsi="Arial"/>
          <w:color w:val="010000"/>
          <w:sz w:val="20"/>
        </w:rPr>
        <w:t>Professional provision:</w:t>
      </w:r>
    </w:p>
    <w:p w:rsidR="00F73FC7" w:rsidRDefault="0050419D" w:rsidP="0050419D">
      <w:pPr>
        <w:numPr>
          <w:ilvl w:val="0"/>
          <w:numId w:val="13"/>
        </w:numPr>
        <w:pBdr>
          <w:top w:val="nil"/>
          <w:left w:val="nil"/>
          <w:bottom w:val="nil"/>
          <w:right w:val="nil"/>
          <w:between w:val="nil"/>
        </w:pBdr>
        <w:tabs>
          <w:tab w:val="left" w:pos="450"/>
          <w:tab w:val="left" w:pos="1184"/>
        </w:tabs>
        <w:spacing w:after="120" w:line="360" w:lineRule="auto"/>
        <w:jc w:val="both"/>
        <w:rPr>
          <w:color w:val="010000"/>
          <w:sz w:val="20"/>
          <w:szCs w:val="20"/>
        </w:rPr>
      </w:pPr>
      <w:r>
        <w:rPr>
          <w:rFonts w:ascii="Arial" w:hAnsi="Arial"/>
          <w:color w:val="010000"/>
          <w:sz w:val="20"/>
        </w:rPr>
        <w:t>Reinsurance ceded provision: VND 1,503,770,377,605</w:t>
      </w:r>
    </w:p>
    <w:p w:rsidR="00F73FC7" w:rsidRDefault="0050419D" w:rsidP="0050419D">
      <w:pPr>
        <w:numPr>
          <w:ilvl w:val="0"/>
          <w:numId w:val="13"/>
        </w:numPr>
        <w:pBdr>
          <w:top w:val="nil"/>
          <w:left w:val="nil"/>
          <w:bottom w:val="nil"/>
          <w:right w:val="nil"/>
          <w:between w:val="nil"/>
        </w:pBdr>
        <w:tabs>
          <w:tab w:val="left" w:pos="450"/>
          <w:tab w:val="left" w:pos="1184"/>
        </w:tabs>
        <w:spacing w:after="120" w:line="360" w:lineRule="auto"/>
        <w:jc w:val="both"/>
        <w:rPr>
          <w:color w:val="010000"/>
          <w:sz w:val="20"/>
          <w:szCs w:val="20"/>
        </w:rPr>
      </w:pPr>
      <w:r>
        <w:rPr>
          <w:rFonts w:ascii="Arial" w:hAnsi="Arial"/>
          <w:color w:val="010000"/>
          <w:sz w:val="20"/>
        </w:rPr>
        <w:t xml:space="preserve">Reinsurance received provision: VND 3,116,844,047,437 </w:t>
      </w:r>
    </w:p>
    <w:tbl>
      <w:tblPr>
        <w:tblStyle w:val="a"/>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1740"/>
        <w:gridCol w:w="1681"/>
        <w:gridCol w:w="1652"/>
        <w:gridCol w:w="1078"/>
        <w:gridCol w:w="899"/>
      </w:tblGrid>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Target</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2022 Results (VND)</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 (VND)</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Plan (VND)</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Results/2023 Plan</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Results/2022 Results</w:t>
            </w: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 Revenue from reinsurance received fee</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2,368,870,128,678</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2,677,422,217,971</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2,468,000,000,000</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108.5%</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113.0%</w:t>
            </w: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Core reinsurance profession</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1,971,334,594,477</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2,540,490,558,040</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2,168,000,000,000</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117.2%</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128.9%</w:t>
            </w: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Personal assistant profession</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397,535,534,201</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136,931,659,931</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300,000,000,000</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45.6%</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34.4%</w:t>
            </w: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2 </w:t>
            </w:r>
            <w:r>
              <w:rPr>
                <w:rFonts w:ascii="Arial" w:hAnsi="Arial"/>
                <w:color w:val="010000"/>
                <w:sz w:val="20"/>
              </w:rPr>
              <w:t>Profit before tax</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439,371,248,415</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473,642,225,093</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460,000,000,000</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103.0%</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107.8%</w:t>
            </w: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2.1 Distributed profit</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437,753,353,406</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500,458,600,461</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460,000,000,000</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108.8%</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114.3%</w:t>
            </w: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2.2 </w:t>
            </w:r>
            <w:r>
              <w:rPr>
                <w:rFonts w:ascii="Arial" w:hAnsi="Arial"/>
                <w:color w:val="010000"/>
                <w:sz w:val="20"/>
              </w:rPr>
              <w:t>- Undistributed profit (exchange rate difference)</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1,617,895,009</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(26,816,375,368)</w:t>
            </w:r>
          </w:p>
        </w:tc>
        <w:tc>
          <w:tcPr>
            <w:tcW w:w="1652" w:type="dxa"/>
            <w:shd w:val="clear" w:color="auto" w:fill="auto"/>
            <w:tcMar>
              <w:top w:w="0" w:type="dxa"/>
              <w:bottom w:w="0" w:type="dxa"/>
            </w:tcMar>
            <w:vAlign w:val="center"/>
          </w:tcPr>
          <w:p w:rsidR="00F73FC7" w:rsidRDefault="00F73FC7">
            <w:pPr>
              <w:tabs>
                <w:tab w:val="left" w:pos="450"/>
              </w:tabs>
              <w:spacing w:after="120" w:line="360" w:lineRule="auto"/>
              <w:rPr>
                <w:rFonts w:ascii="Arial" w:eastAsia="Arial" w:hAnsi="Arial" w:cs="Arial"/>
                <w:color w:val="010000"/>
                <w:sz w:val="20"/>
                <w:szCs w:val="20"/>
              </w:rPr>
            </w:pPr>
          </w:p>
        </w:tc>
        <w:tc>
          <w:tcPr>
            <w:tcW w:w="1078" w:type="dxa"/>
            <w:shd w:val="clear" w:color="auto" w:fill="auto"/>
            <w:tcMar>
              <w:top w:w="0" w:type="dxa"/>
              <w:bottom w:w="0" w:type="dxa"/>
            </w:tcMar>
            <w:vAlign w:val="center"/>
          </w:tcPr>
          <w:p w:rsidR="00F73FC7" w:rsidRDefault="00F73FC7">
            <w:pPr>
              <w:tabs>
                <w:tab w:val="left" w:pos="450"/>
              </w:tabs>
              <w:spacing w:after="120" w:line="360" w:lineRule="auto"/>
              <w:rPr>
                <w:rFonts w:ascii="Arial" w:eastAsia="Arial" w:hAnsi="Arial" w:cs="Arial"/>
                <w:color w:val="010000"/>
                <w:sz w:val="20"/>
                <w:szCs w:val="20"/>
              </w:rPr>
            </w:pPr>
          </w:p>
        </w:tc>
        <w:tc>
          <w:tcPr>
            <w:tcW w:w="899" w:type="dxa"/>
            <w:shd w:val="clear" w:color="auto" w:fill="auto"/>
            <w:tcMar>
              <w:top w:w="0" w:type="dxa"/>
              <w:bottom w:w="0" w:type="dxa"/>
            </w:tcMar>
            <w:vAlign w:val="center"/>
          </w:tcPr>
          <w:p w:rsidR="00F73FC7" w:rsidRDefault="00F73FC7">
            <w:pPr>
              <w:tabs>
                <w:tab w:val="left" w:pos="450"/>
              </w:tabs>
              <w:spacing w:after="120" w:line="360" w:lineRule="auto"/>
              <w:rPr>
                <w:rFonts w:ascii="Arial" w:eastAsia="Arial" w:hAnsi="Arial" w:cs="Arial"/>
                <w:color w:val="010000"/>
                <w:sz w:val="20"/>
                <w:szCs w:val="20"/>
              </w:rPr>
            </w:pPr>
          </w:p>
        </w:tc>
      </w:tr>
      <w:tr w:rsidR="00F73FC7" w:rsidTr="0050419D">
        <w:tc>
          <w:tcPr>
            <w:tcW w:w="212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3 </w:t>
            </w:r>
            <w:r>
              <w:rPr>
                <w:rFonts w:ascii="Arial" w:hAnsi="Arial"/>
                <w:color w:val="010000"/>
                <w:sz w:val="20"/>
              </w:rPr>
              <w:t>Total income - total payment without salary</w:t>
            </w:r>
          </w:p>
        </w:tc>
        <w:tc>
          <w:tcPr>
            <w:tcW w:w="174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506,427,221,550</w:t>
            </w:r>
          </w:p>
        </w:tc>
        <w:tc>
          <w:tcPr>
            <w:tcW w:w="168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580,832,788,656</w:t>
            </w:r>
          </w:p>
        </w:tc>
        <w:tc>
          <w:tcPr>
            <w:tcW w:w="16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533,000,000,000</w:t>
            </w:r>
          </w:p>
        </w:tc>
        <w:tc>
          <w:tcPr>
            <w:tcW w:w="107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109.0%</w:t>
            </w:r>
          </w:p>
        </w:tc>
        <w:tc>
          <w:tcPr>
            <w:tcW w:w="89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114.7%</w:t>
            </w:r>
          </w:p>
        </w:tc>
      </w:tr>
    </w:tbl>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The Corporation has exceeded its 2023 business plan.</w:t>
      </w:r>
    </w:p>
    <w:p w:rsidR="00F73FC7" w:rsidRDefault="00F73FC7">
      <w:pPr>
        <w:tabs>
          <w:tab w:val="left" w:pos="450"/>
        </w:tabs>
        <w:spacing w:after="120" w:line="360" w:lineRule="auto"/>
        <w:rPr>
          <w:rFonts w:ascii="Arial" w:eastAsia="Arial" w:hAnsi="Arial" w:cs="Arial"/>
          <w:color w:val="010000"/>
          <w:sz w:val="20"/>
          <w:szCs w:val="20"/>
        </w:rPr>
      </w:pPr>
    </w:p>
    <w:p w:rsidR="00F73FC7" w:rsidRDefault="0050419D">
      <w:pPr>
        <w:keepNext/>
        <w:numPr>
          <w:ilvl w:val="1"/>
          <w:numId w:val="14"/>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lastRenderedPageBreak/>
        <w:t>Approve the Consolidated Financial Statements 2023 with the following main targets:</w:t>
      </w:r>
    </w:p>
    <w:p w:rsidR="00F73FC7" w:rsidRDefault="0050419D">
      <w:pPr>
        <w:numPr>
          <w:ilvl w:val="0"/>
          <w:numId w:val="17"/>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Total assets: VND 8,002,256,148,750</w:t>
      </w:r>
    </w:p>
    <w:p w:rsidR="00F73FC7" w:rsidRDefault="0050419D">
      <w:pPr>
        <w:numPr>
          <w:ilvl w:val="1"/>
          <w:numId w:val="17"/>
        </w:numPr>
        <w:pBdr>
          <w:top w:val="nil"/>
          <w:left w:val="nil"/>
          <w:bottom w:val="nil"/>
          <w:right w:val="nil"/>
          <w:between w:val="nil"/>
        </w:pBdr>
        <w:tabs>
          <w:tab w:val="left" w:pos="450"/>
          <w:tab w:val="left" w:pos="4308"/>
        </w:tabs>
        <w:spacing w:after="120" w:line="360" w:lineRule="auto"/>
        <w:ind w:left="0" w:firstLine="0"/>
        <w:rPr>
          <w:color w:val="010000"/>
          <w:sz w:val="20"/>
          <w:szCs w:val="20"/>
        </w:rPr>
      </w:pPr>
      <w:r>
        <w:rPr>
          <w:rFonts w:ascii="Arial" w:hAnsi="Arial"/>
          <w:color w:val="010000"/>
          <w:sz w:val="20"/>
        </w:rPr>
        <w:t>Owners’ equity: VND 3,717,333,916,781</w:t>
      </w:r>
    </w:p>
    <w:p w:rsidR="00F73FC7" w:rsidRDefault="0050419D">
      <w:pPr>
        <w:numPr>
          <w:ilvl w:val="1"/>
          <w:numId w:val="17"/>
        </w:numPr>
        <w:pBdr>
          <w:top w:val="nil"/>
          <w:left w:val="nil"/>
          <w:bottom w:val="nil"/>
          <w:right w:val="nil"/>
          <w:between w:val="nil"/>
        </w:pBdr>
        <w:tabs>
          <w:tab w:val="left" w:pos="450"/>
        </w:tabs>
        <w:spacing w:after="120" w:line="360" w:lineRule="auto"/>
        <w:ind w:left="0" w:firstLine="0"/>
        <w:rPr>
          <w:color w:val="010000"/>
          <w:sz w:val="20"/>
          <w:szCs w:val="20"/>
        </w:rPr>
      </w:pPr>
      <w:r>
        <w:rPr>
          <w:rFonts w:ascii="Arial" w:hAnsi="Arial"/>
          <w:color w:val="010000"/>
          <w:sz w:val="20"/>
        </w:rPr>
        <w:t>Professional provision:</w:t>
      </w:r>
    </w:p>
    <w:p w:rsidR="00F73FC7" w:rsidRDefault="0050419D">
      <w:pPr>
        <w:numPr>
          <w:ilvl w:val="0"/>
          <w:numId w:val="1"/>
        </w:numPr>
        <w:pBdr>
          <w:top w:val="nil"/>
          <w:left w:val="nil"/>
          <w:bottom w:val="nil"/>
          <w:right w:val="nil"/>
          <w:between w:val="nil"/>
        </w:pBdr>
        <w:tabs>
          <w:tab w:val="left" w:pos="450"/>
          <w:tab w:val="left" w:pos="1090"/>
        </w:tabs>
        <w:spacing w:after="120" w:line="360" w:lineRule="auto"/>
        <w:rPr>
          <w:color w:val="010000"/>
          <w:sz w:val="20"/>
          <w:szCs w:val="20"/>
        </w:rPr>
      </w:pPr>
      <w:r>
        <w:rPr>
          <w:rFonts w:ascii="Arial" w:hAnsi="Arial"/>
          <w:color w:val="010000"/>
          <w:sz w:val="20"/>
        </w:rPr>
        <w:t>Reinsurance ceded provision: VND 1,503,770,377,605</w:t>
      </w:r>
    </w:p>
    <w:p w:rsidR="00F73FC7" w:rsidRDefault="0050419D">
      <w:pPr>
        <w:numPr>
          <w:ilvl w:val="0"/>
          <w:numId w:val="1"/>
        </w:numPr>
        <w:pBdr>
          <w:top w:val="nil"/>
          <w:left w:val="nil"/>
          <w:bottom w:val="nil"/>
          <w:right w:val="nil"/>
          <w:between w:val="nil"/>
        </w:pBdr>
        <w:tabs>
          <w:tab w:val="left" w:pos="450"/>
          <w:tab w:val="left" w:pos="1090"/>
        </w:tabs>
        <w:spacing w:after="120" w:line="360" w:lineRule="auto"/>
        <w:rPr>
          <w:color w:val="010000"/>
          <w:sz w:val="20"/>
          <w:szCs w:val="20"/>
        </w:rPr>
      </w:pPr>
      <w:r>
        <w:rPr>
          <w:rFonts w:ascii="Arial" w:hAnsi="Arial"/>
          <w:color w:val="010000"/>
          <w:sz w:val="20"/>
        </w:rPr>
        <w:t>Reinsurance received provision: VND 3,116,844,047,437</w:t>
      </w:r>
    </w:p>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Article 2: Approve profit distribution plan 2023 and submit to the General Meeting of Shareholders for approval with the following main content:</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5"/>
        <w:gridCol w:w="2952"/>
      </w:tblGrid>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Target</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Amount (VND)</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Remaining profit as of January 01, 2023</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827,720,556,907</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Distributed profit</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751,967,954,708</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Undistributed profit (exchange rate difference)</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75,752,602,199</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 Dividend payment in 2022 by shares (rate of 10%)</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150,734,870,000</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3. </w:t>
            </w:r>
            <w:r>
              <w:rPr>
                <w:rFonts w:ascii="Arial" w:hAnsi="Arial"/>
                <w:color w:val="010000"/>
                <w:sz w:val="20"/>
              </w:rPr>
              <w:t>Profit after tax in 2023</w:t>
            </w:r>
          </w:p>
        </w:tc>
        <w:tc>
          <w:tcPr>
            <w:tcW w:w="2952" w:type="dxa"/>
            <w:shd w:val="clear" w:color="auto" w:fill="auto"/>
            <w:tcMar>
              <w:top w:w="0" w:type="dxa"/>
              <w:bottom w:w="0" w:type="dxa"/>
            </w:tcMar>
            <w:vAlign w:val="center"/>
          </w:tcPr>
          <w:p w:rsidR="00F73FC7" w:rsidRDefault="00F73FC7">
            <w:pPr>
              <w:tabs>
                <w:tab w:val="left" w:pos="450"/>
              </w:tabs>
              <w:spacing w:after="120" w:line="360" w:lineRule="auto"/>
              <w:rPr>
                <w:rFonts w:ascii="Arial" w:eastAsia="Arial" w:hAnsi="Arial" w:cs="Arial"/>
                <w:color w:val="010000"/>
                <w:sz w:val="20"/>
                <w:szCs w:val="20"/>
              </w:rPr>
            </w:pP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3.1. </w:t>
            </w:r>
            <w:r>
              <w:rPr>
                <w:rFonts w:ascii="Arial" w:hAnsi="Arial"/>
                <w:color w:val="010000"/>
                <w:sz w:val="20"/>
              </w:rPr>
              <w:t>Realized profit</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397,218,403,717</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Distributed profit</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424,034,779,085</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Undistributed profit (exchange rate difference)</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(26,816,375,368)</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3.2. Profit distribution</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359,393,677,221</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Compulsory reserve fund (5% of Profit after tax)</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15,073,487,000</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Investment and development fund</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Bonus fund (1.5% of Profit after tax)</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6,360,521,686</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Welfare fund (realized 01-month salary)</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6,338,434,535</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Dividend payment in 2023 in cash (rate of 10%)</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165,810,617,000</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Dividend payment in 2023 by shares (rate of 10%)</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165,810,617,000</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4. </w:t>
            </w:r>
            <w:r>
              <w:rPr>
                <w:rFonts w:ascii="Arial" w:hAnsi="Arial"/>
                <w:color w:val="010000"/>
                <w:sz w:val="20"/>
              </w:rPr>
              <w:t>Accumulated remaining profit (4=1-2+3)</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714,810,413,403</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Distributed profit</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665,874,186,572</w:t>
            </w:r>
          </w:p>
        </w:tc>
      </w:tr>
      <w:tr w:rsidR="00F73FC7">
        <w:tc>
          <w:tcPr>
            <w:tcW w:w="6065"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Undistributed profit (exchange rate difference)</w:t>
            </w:r>
          </w:p>
        </w:tc>
        <w:tc>
          <w:tcPr>
            <w:tcW w:w="2952"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48,936,226,831</w:t>
            </w:r>
          </w:p>
        </w:tc>
      </w:tr>
    </w:tbl>
    <w:p w:rsidR="00F73FC7" w:rsidRDefault="00F73FC7">
      <w:pPr>
        <w:tabs>
          <w:tab w:val="left" w:pos="450"/>
        </w:tabs>
        <w:spacing w:after="120" w:line="360" w:lineRule="auto"/>
        <w:rPr>
          <w:rFonts w:ascii="Arial" w:eastAsia="Arial" w:hAnsi="Arial" w:cs="Arial"/>
          <w:color w:val="010000"/>
          <w:sz w:val="20"/>
          <w:szCs w:val="20"/>
        </w:rPr>
      </w:pPr>
    </w:p>
    <w:p w:rsidR="00F73FC7" w:rsidRDefault="0050419D" w:rsidP="0050419D">
      <w:pPr>
        <w:keepNext/>
        <w:numPr>
          <w:ilvl w:val="1"/>
          <w:numId w:val="2"/>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Dividend rate in 2023:</w:t>
      </w:r>
    </w:p>
    <w:p w:rsidR="00F73FC7" w:rsidRDefault="0050419D" w:rsidP="0050419D">
      <w:pPr>
        <w:numPr>
          <w:ilvl w:val="0"/>
          <w:numId w:val="3"/>
        </w:numPr>
        <w:pBdr>
          <w:top w:val="nil"/>
          <w:left w:val="nil"/>
          <w:bottom w:val="nil"/>
          <w:right w:val="nil"/>
          <w:between w:val="nil"/>
        </w:pBdr>
        <w:tabs>
          <w:tab w:val="left" w:pos="450"/>
          <w:tab w:val="left" w:pos="754"/>
        </w:tabs>
        <w:spacing w:after="120" w:line="360" w:lineRule="auto"/>
        <w:jc w:val="both"/>
        <w:rPr>
          <w:color w:val="010000"/>
          <w:sz w:val="20"/>
          <w:szCs w:val="20"/>
        </w:rPr>
      </w:pPr>
      <w:r>
        <w:rPr>
          <w:rFonts w:ascii="Arial" w:hAnsi="Arial"/>
          <w:color w:val="010000"/>
          <w:sz w:val="20"/>
        </w:rPr>
        <w:t>10% in cash; and</w:t>
      </w:r>
    </w:p>
    <w:p w:rsidR="00F73FC7" w:rsidRDefault="0050419D" w:rsidP="0050419D">
      <w:pPr>
        <w:numPr>
          <w:ilvl w:val="0"/>
          <w:numId w:val="3"/>
        </w:numPr>
        <w:pBdr>
          <w:top w:val="nil"/>
          <w:left w:val="nil"/>
          <w:bottom w:val="nil"/>
          <w:right w:val="nil"/>
          <w:between w:val="nil"/>
        </w:pBdr>
        <w:tabs>
          <w:tab w:val="left" w:pos="450"/>
          <w:tab w:val="left" w:pos="754"/>
        </w:tabs>
        <w:spacing w:after="120" w:line="360" w:lineRule="auto"/>
        <w:jc w:val="both"/>
        <w:rPr>
          <w:color w:val="010000"/>
          <w:sz w:val="20"/>
          <w:szCs w:val="20"/>
        </w:rPr>
      </w:pPr>
      <w:r>
        <w:rPr>
          <w:rFonts w:ascii="Arial" w:hAnsi="Arial"/>
          <w:color w:val="010000"/>
          <w:sz w:val="20"/>
        </w:rPr>
        <w:lastRenderedPageBreak/>
        <w:t>10% by shares.</w:t>
      </w:r>
    </w:p>
    <w:p w:rsidR="00F73FC7" w:rsidRDefault="0050419D" w:rsidP="0050419D">
      <w:pPr>
        <w:keepNext/>
        <w:numPr>
          <w:ilvl w:val="1"/>
          <w:numId w:val="2"/>
        </w:numPr>
        <w:pBdr>
          <w:top w:val="nil"/>
          <w:left w:val="nil"/>
          <w:bottom w:val="nil"/>
          <w:right w:val="nil"/>
          <w:between w:val="nil"/>
        </w:pBdr>
        <w:tabs>
          <w:tab w:val="left" w:pos="450"/>
          <w:tab w:val="left" w:pos="484"/>
        </w:tabs>
        <w:spacing w:after="120" w:line="360" w:lineRule="auto"/>
        <w:jc w:val="both"/>
        <w:rPr>
          <w:color w:val="010000"/>
          <w:sz w:val="20"/>
          <w:szCs w:val="20"/>
        </w:rPr>
      </w:pPr>
      <w:r>
        <w:rPr>
          <w:rFonts w:ascii="Arial" w:hAnsi="Arial"/>
          <w:color w:val="010000"/>
          <w:sz w:val="20"/>
        </w:rPr>
        <w:t>Approve the remuneration (including tax) of the Board of Directors, the Supervisory Board, and the Secretariat Group of the Board of Directors in 2023.</w:t>
      </w:r>
      <w:r>
        <w:rPr>
          <w:rFonts w:ascii="Arial" w:hAnsi="Arial"/>
          <w:color w:val="010000"/>
          <w:sz w:val="20"/>
        </w:rPr>
        <w:t xml:space="preserve"> VND 2,170,219,780</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(Remuneration is according to Board Decision No. 11/2015/QD-HDQT dated August 21, 2015).</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transactions with related parties in 2023 (Report attached)</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Report on activities of the Board of Directors in 2023 (Report an</w:t>
      </w:r>
      <w:r>
        <w:rPr>
          <w:rFonts w:ascii="Arial" w:hAnsi="Arial"/>
          <w:color w:val="010000"/>
          <w:sz w:val="20"/>
        </w:rPr>
        <w:t>d Appendix attached).</w:t>
      </w:r>
    </w:p>
    <w:p w:rsidR="0050419D" w:rsidRDefault="0050419D" w:rsidP="0050419D">
      <w:pPr>
        <w:pBdr>
          <w:top w:val="nil"/>
          <w:left w:val="nil"/>
          <w:bottom w:val="nil"/>
          <w:right w:val="nil"/>
          <w:between w:val="nil"/>
        </w:pBdr>
        <w:tabs>
          <w:tab w:val="left" w:pos="450"/>
        </w:tabs>
        <w:spacing w:after="120" w:line="360" w:lineRule="auto"/>
        <w:jc w:val="both"/>
        <w:rPr>
          <w:rFonts w:ascii="Arial" w:hAnsi="Arial"/>
          <w:color w:val="010000"/>
          <w:sz w:val="20"/>
        </w:rPr>
      </w:pPr>
      <w:r>
        <w:rPr>
          <w:rFonts w:ascii="Arial" w:hAnsi="Arial"/>
          <w:color w:val="010000"/>
          <w:sz w:val="20"/>
        </w:rPr>
        <w:t>Article 5: Approve the Report on the results of share issue</w:t>
      </w:r>
      <w:r>
        <w:rPr>
          <w:rFonts w:ascii="Arial" w:hAnsi="Arial"/>
          <w:color w:val="010000"/>
          <w:sz w:val="20"/>
        </w:rPr>
        <w:t xml:space="preserve"> to pay dividend</w:t>
      </w:r>
      <w:r>
        <w:rPr>
          <w:rFonts w:ascii="Arial" w:hAnsi="Arial"/>
          <w:color w:val="010000"/>
          <w:sz w:val="20"/>
        </w:rPr>
        <w:t xml:space="preserve"> in 2022 and submit to the General Meeting </w:t>
      </w:r>
      <w:r>
        <w:rPr>
          <w:rFonts w:ascii="Arial" w:hAnsi="Arial"/>
          <w:color w:val="010000"/>
          <w:sz w:val="20"/>
        </w:rPr>
        <w:t xml:space="preserve">for approval </w:t>
      </w:r>
    </w:p>
    <w:p w:rsidR="0050419D" w:rsidRDefault="0050419D" w:rsidP="0050419D">
      <w:pPr>
        <w:pBdr>
          <w:top w:val="nil"/>
          <w:left w:val="nil"/>
          <w:bottom w:val="nil"/>
          <w:right w:val="nil"/>
          <w:between w:val="nil"/>
        </w:pBdr>
        <w:tabs>
          <w:tab w:val="left" w:pos="450"/>
        </w:tabs>
        <w:spacing w:after="120" w:line="360" w:lineRule="auto"/>
        <w:jc w:val="both"/>
        <w:rPr>
          <w:rFonts w:ascii="Arial" w:hAnsi="Arial"/>
          <w:color w:val="010000"/>
          <w:sz w:val="20"/>
        </w:rPr>
      </w:pPr>
      <w:r>
        <w:rPr>
          <w:rFonts w:ascii="Arial" w:hAnsi="Arial"/>
          <w:color w:val="010000"/>
          <w:sz w:val="20"/>
        </w:rPr>
        <w:t xml:space="preserve">Article 6: Approve the Risk Management Report 2023 </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Approve the 2024 business plan and submit to the General Meeting of Shareholders for approval.</w:t>
      </w:r>
      <w:r>
        <w:rPr>
          <w:rFonts w:ascii="Arial" w:hAnsi="Arial"/>
          <w:color w:val="010000"/>
          <w:sz w:val="20"/>
        </w:rPr>
        <w:t xml:space="preserve"> </w:t>
      </w:r>
    </w:p>
    <w:p w:rsidR="00F73FC7" w:rsidRDefault="0050419D">
      <w:pPr>
        <w:keepNext/>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7.1 General business plan:</w:t>
      </w:r>
    </w:p>
    <w:p w:rsidR="00F73FC7" w:rsidRDefault="0050419D">
      <w:pPr>
        <w:pBdr>
          <w:top w:val="nil"/>
          <w:left w:val="nil"/>
          <w:bottom w:val="nil"/>
          <w:right w:val="nil"/>
          <w:between w:val="nil"/>
        </w:pBdr>
        <w:tabs>
          <w:tab w:val="left" w:pos="450"/>
          <w:tab w:val="left" w:pos="7172"/>
        </w:tabs>
        <w:spacing w:after="120" w:line="360" w:lineRule="auto"/>
        <w:jc w:val="right"/>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Unit:</w:t>
      </w:r>
      <w:r>
        <w:rPr>
          <w:rFonts w:ascii="Arial" w:hAnsi="Arial"/>
          <w:color w:val="010000"/>
          <w:sz w:val="20"/>
        </w:rPr>
        <w:t xml:space="preserve"> Million VND</w:t>
      </w:r>
    </w:p>
    <w:tbl>
      <w:tblPr>
        <w:tblStyle w:val="a1"/>
        <w:tblW w:w="9017" w:type="dxa"/>
        <w:tblLayout w:type="fixed"/>
        <w:tblLook w:val="0400" w:firstRow="0" w:lastRow="0" w:firstColumn="0" w:lastColumn="0" w:noHBand="0" w:noVBand="1"/>
      </w:tblPr>
      <w:tblGrid>
        <w:gridCol w:w="3145"/>
        <w:gridCol w:w="2160"/>
        <w:gridCol w:w="2249"/>
        <w:gridCol w:w="1463"/>
      </w:tblGrid>
      <w:tr w:rsidR="00F73FC7">
        <w:tc>
          <w:tcPr>
            <w:tcW w:w="3145"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Target</w:t>
            </w:r>
          </w:p>
        </w:tc>
        <w:tc>
          <w:tcPr>
            <w:tcW w:w="2160"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2024 Plan</w:t>
            </w:r>
          </w:p>
        </w:tc>
        <w:tc>
          <w:tcPr>
            <w:tcW w:w="2249"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Growth rate</w:t>
            </w:r>
          </w:p>
        </w:tc>
      </w:tr>
      <w:tr w:rsidR="00F73FC7">
        <w:tc>
          <w:tcPr>
            <w:tcW w:w="3145"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received fee revenue</w:t>
            </w:r>
          </w:p>
        </w:tc>
        <w:tc>
          <w:tcPr>
            <w:tcW w:w="2160"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2,918,000</w:t>
            </w:r>
          </w:p>
        </w:tc>
        <w:tc>
          <w:tcPr>
            <w:tcW w:w="2249"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2,677,422</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9.0%</w:t>
            </w:r>
          </w:p>
        </w:tc>
      </w:tr>
      <w:tr w:rsidR="00F73FC7">
        <w:tc>
          <w:tcPr>
            <w:tcW w:w="3145" w:type="dxa"/>
            <w:tcBorders>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Core reinsurance profession</w:t>
            </w:r>
          </w:p>
        </w:tc>
        <w:tc>
          <w:tcPr>
            <w:tcW w:w="2160" w:type="dxa"/>
            <w:tcBorders>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2,778,000</w:t>
            </w:r>
          </w:p>
        </w:tc>
        <w:tc>
          <w:tcPr>
            <w:tcW w:w="2249" w:type="dxa"/>
            <w:tcBorders>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2,540,491</w:t>
            </w:r>
          </w:p>
        </w:tc>
        <w:tc>
          <w:tcPr>
            <w:tcW w:w="1463" w:type="dxa"/>
            <w:tcBorders>
              <w:left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9.4%</w:t>
            </w:r>
          </w:p>
        </w:tc>
      </w:tr>
      <w:tr w:rsidR="00F73FC7">
        <w:tc>
          <w:tcPr>
            <w:tcW w:w="3145" w:type="dxa"/>
            <w:tcBorders>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Personal assistant profession</w:t>
            </w:r>
          </w:p>
        </w:tc>
        <w:tc>
          <w:tcPr>
            <w:tcW w:w="2160" w:type="dxa"/>
            <w:tcBorders>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140,000</w:t>
            </w:r>
          </w:p>
        </w:tc>
        <w:tc>
          <w:tcPr>
            <w:tcW w:w="2249" w:type="dxa"/>
            <w:tcBorders>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136,932</w:t>
            </w:r>
          </w:p>
        </w:tc>
        <w:tc>
          <w:tcPr>
            <w:tcW w:w="1463" w:type="dxa"/>
            <w:tcBorders>
              <w:left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2.2%</w:t>
            </w:r>
          </w:p>
        </w:tc>
      </w:tr>
      <w:tr w:rsidR="00F73FC7">
        <w:tc>
          <w:tcPr>
            <w:tcW w:w="3145"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160"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505,000</w:t>
            </w:r>
          </w:p>
        </w:tc>
        <w:tc>
          <w:tcPr>
            <w:tcW w:w="2249" w:type="dxa"/>
            <w:tcBorders>
              <w:top w:val="single" w:sz="4" w:space="0" w:color="000000"/>
              <w:lef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473,642</w:t>
            </w:r>
          </w:p>
        </w:tc>
        <w:tc>
          <w:tcPr>
            <w:tcW w:w="14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6.6%</w:t>
            </w:r>
          </w:p>
        </w:tc>
      </w:tr>
      <w:tr w:rsidR="00F73FC7">
        <w:tc>
          <w:tcPr>
            <w:tcW w:w="31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Expected dividend rate</w:t>
            </w:r>
          </w:p>
        </w:tc>
        <w:tc>
          <w:tcPr>
            <w:tcW w:w="21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 in cash</w:t>
            </w:r>
          </w:p>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 by shares</w:t>
            </w:r>
          </w:p>
        </w:tc>
        <w:tc>
          <w:tcPr>
            <w:tcW w:w="22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 in cash</w:t>
            </w:r>
          </w:p>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 by shares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73FC7" w:rsidRDefault="00F73FC7">
            <w:pPr>
              <w:tabs>
                <w:tab w:val="left" w:pos="450"/>
              </w:tabs>
              <w:spacing w:after="120" w:line="360" w:lineRule="auto"/>
              <w:rPr>
                <w:rFonts w:ascii="Arial" w:eastAsia="Arial" w:hAnsi="Arial" w:cs="Arial"/>
                <w:color w:val="010000"/>
                <w:sz w:val="20"/>
                <w:szCs w:val="20"/>
              </w:rPr>
            </w:pPr>
          </w:p>
        </w:tc>
      </w:tr>
      <w:tr w:rsidR="00F73FC7">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 income - total payment without salary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586,000</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580,832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0.9%</w:t>
            </w:r>
          </w:p>
        </w:tc>
      </w:tr>
    </w:tbl>
    <w:p w:rsidR="00F73FC7" w:rsidRDefault="00F73FC7">
      <w:pPr>
        <w:tabs>
          <w:tab w:val="left" w:pos="450"/>
        </w:tabs>
        <w:spacing w:after="120" w:line="360" w:lineRule="auto"/>
        <w:rPr>
          <w:rFonts w:ascii="Arial" w:eastAsia="Arial" w:hAnsi="Arial" w:cs="Arial"/>
          <w:color w:val="010000"/>
          <w:sz w:val="20"/>
          <w:szCs w:val="20"/>
        </w:rPr>
      </w:pPr>
    </w:p>
    <w:p w:rsidR="00F73FC7" w:rsidRDefault="00F73FC7">
      <w:pPr>
        <w:tabs>
          <w:tab w:val="left" w:pos="450"/>
        </w:tabs>
        <w:spacing w:after="120" w:line="360" w:lineRule="auto"/>
        <w:rPr>
          <w:rFonts w:ascii="Arial" w:eastAsia="Arial" w:hAnsi="Arial" w:cs="Arial"/>
          <w:color w:val="010000"/>
          <w:sz w:val="20"/>
          <w:szCs w:val="20"/>
        </w:rPr>
      </w:pPr>
    </w:p>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7.2 Expected plan on investment asset allocation:</w:t>
      </w:r>
    </w:p>
    <w:p w:rsidR="00F73FC7" w:rsidRDefault="0050419D">
      <w:pPr>
        <w:pBdr>
          <w:top w:val="nil"/>
          <w:left w:val="nil"/>
          <w:bottom w:val="nil"/>
          <w:right w:val="nil"/>
          <w:between w:val="nil"/>
        </w:pBdr>
        <w:tabs>
          <w:tab w:val="left" w:pos="450"/>
        </w:tabs>
        <w:spacing w:after="120" w:line="360" w:lineRule="auto"/>
        <w:jc w:val="right"/>
        <w:rPr>
          <w:rFonts w:ascii="Arial" w:eastAsia="Arial" w:hAnsi="Arial" w:cs="Arial"/>
          <w:color w:val="010000"/>
          <w:sz w:val="20"/>
          <w:szCs w:val="20"/>
        </w:rPr>
      </w:pPr>
      <w:r>
        <w:rPr>
          <w:rFonts w:ascii="Arial" w:hAnsi="Arial"/>
          <w:color w:val="010000"/>
          <w:sz w:val="20"/>
        </w:rPr>
        <w:t>Unit:</w:t>
      </w:r>
      <w:r>
        <w:rPr>
          <w:rFonts w:ascii="Arial" w:hAnsi="Arial"/>
          <w:color w:val="010000"/>
          <w:sz w:val="20"/>
        </w:rPr>
        <w:t xml:space="preserve"> Million VND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2858"/>
        <w:gridCol w:w="1219"/>
        <w:gridCol w:w="1396"/>
        <w:gridCol w:w="1390"/>
        <w:gridCol w:w="1493"/>
      </w:tblGrid>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Investment item</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2024 Plan</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2023 Results</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Difference</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Rate (December 31, 2024)</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Bank deposit</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2,750,000</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2,854,000</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-104,000</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54.7%</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Bond</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1,414,000</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1,129,000</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285,000</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28.1%</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Share capital contribution</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494,296</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494,296</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9.8%</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Securities, fund certificates and investment trust</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350,000</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320,000</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30,000</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7.0%</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Office for lease</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1,000</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2,773</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-1,773</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0.02%</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Real estate</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10,969</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10,969</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w:t>
            </w:r>
          </w:p>
        </w:tc>
      </w:tr>
      <w:tr w:rsidR="00F73FC7">
        <w:tc>
          <w:tcPr>
            <w:tcW w:w="661"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w:t>
            </w: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Money from payment account</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3,745</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3,745</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w:t>
            </w:r>
          </w:p>
        </w:tc>
      </w:tr>
      <w:tr w:rsidR="00F73FC7">
        <w:tc>
          <w:tcPr>
            <w:tcW w:w="661" w:type="dxa"/>
            <w:shd w:val="clear" w:color="auto" w:fill="auto"/>
            <w:tcMar>
              <w:top w:w="0" w:type="dxa"/>
              <w:bottom w:w="0" w:type="dxa"/>
            </w:tcMar>
            <w:vAlign w:val="center"/>
          </w:tcPr>
          <w:p w:rsidR="00F73FC7" w:rsidRDefault="00F73FC7">
            <w:pPr>
              <w:tabs>
                <w:tab w:val="left" w:pos="450"/>
              </w:tabs>
              <w:spacing w:after="120" w:line="360" w:lineRule="auto"/>
              <w:rPr>
                <w:rFonts w:ascii="Arial" w:eastAsia="Arial" w:hAnsi="Arial" w:cs="Arial"/>
                <w:color w:val="010000"/>
                <w:sz w:val="20"/>
                <w:szCs w:val="20"/>
              </w:rPr>
            </w:pPr>
          </w:p>
        </w:tc>
        <w:tc>
          <w:tcPr>
            <w:tcW w:w="2858"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Total</w:t>
            </w:r>
          </w:p>
        </w:tc>
        <w:tc>
          <w:tcPr>
            <w:tcW w:w="1219"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5,026,192</w:t>
            </w:r>
          </w:p>
        </w:tc>
        <w:tc>
          <w:tcPr>
            <w:tcW w:w="1396"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4,814,783</w:t>
            </w:r>
          </w:p>
        </w:tc>
        <w:tc>
          <w:tcPr>
            <w:tcW w:w="1390"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211,409</w:t>
            </w:r>
          </w:p>
        </w:tc>
        <w:tc>
          <w:tcPr>
            <w:tcW w:w="1493" w:type="dxa"/>
            <w:shd w:val="clear" w:color="auto" w:fill="auto"/>
            <w:tcMar>
              <w:top w:w="0" w:type="dxa"/>
              <w:bottom w:w="0" w:type="dxa"/>
            </w:tcMar>
            <w:vAlign w:val="center"/>
          </w:tcPr>
          <w:p w:rsidR="00F73FC7" w:rsidRDefault="0050419D">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100.0%</w:t>
            </w:r>
          </w:p>
        </w:tc>
      </w:tr>
    </w:tbl>
    <w:p w:rsidR="00F73FC7" w:rsidRDefault="00F73FC7">
      <w:pPr>
        <w:tabs>
          <w:tab w:val="left" w:pos="450"/>
        </w:tabs>
        <w:spacing w:after="120" w:line="360" w:lineRule="auto"/>
        <w:rPr>
          <w:rFonts w:ascii="Arial" w:eastAsia="Arial" w:hAnsi="Arial" w:cs="Arial"/>
          <w:color w:val="010000"/>
          <w:sz w:val="20"/>
          <w:szCs w:val="20"/>
        </w:rPr>
      </w:pPr>
    </w:p>
    <w:p w:rsidR="00F73FC7" w:rsidRDefault="0050419D" w:rsidP="0050419D">
      <w:pPr>
        <w:pBdr>
          <w:top w:val="nil"/>
          <w:left w:val="nil"/>
          <w:bottom w:val="nil"/>
          <w:right w:val="nil"/>
          <w:between w:val="nil"/>
        </w:pBdr>
        <w:tabs>
          <w:tab w:val="left" w:pos="450"/>
          <w:tab w:val="left" w:pos="10058"/>
        </w:tabs>
        <w:spacing w:after="120" w:line="360" w:lineRule="auto"/>
        <w:jc w:val="both"/>
        <w:rPr>
          <w:rFonts w:ascii="Arial" w:eastAsia="Arial" w:hAnsi="Arial" w:cs="Arial"/>
          <w:color w:val="010000"/>
          <w:sz w:val="20"/>
          <w:szCs w:val="20"/>
        </w:rPr>
      </w:pPr>
      <w:r>
        <w:rPr>
          <w:rFonts w:ascii="Arial" w:hAnsi="Arial"/>
          <w:color w:val="010000"/>
          <w:sz w:val="20"/>
        </w:rPr>
        <w:t xml:space="preserve">The Corporation implement investment activities according to expected asset allocation as per authorities </w:t>
      </w:r>
      <w:r>
        <w:rPr>
          <w:rFonts w:ascii="Arial" w:hAnsi="Arial"/>
          <w:color w:val="010000"/>
          <w:sz w:val="20"/>
        </w:rPr>
        <w:t xml:space="preserve">The above rate might change with the principle of ensuring efficiency, suited to actual status and utilizing appropriate investment chances. </w:t>
      </w:r>
    </w:p>
    <w:p w:rsidR="00F73FC7" w:rsidRDefault="0050419D" w:rsidP="0050419D">
      <w:pPr>
        <w:numPr>
          <w:ilvl w:val="1"/>
          <w:numId w:val="2"/>
        </w:numPr>
        <w:pBdr>
          <w:top w:val="nil"/>
          <w:left w:val="nil"/>
          <w:bottom w:val="nil"/>
          <w:right w:val="nil"/>
          <w:between w:val="nil"/>
        </w:pBdr>
        <w:tabs>
          <w:tab w:val="left" w:pos="450"/>
          <w:tab w:val="left" w:pos="592"/>
          <w:tab w:val="left" w:pos="10058"/>
        </w:tabs>
        <w:spacing w:after="120" w:line="360" w:lineRule="auto"/>
        <w:jc w:val="both"/>
        <w:rPr>
          <w:color w:val="010000"/>
          <w:sz w:val="20"/>
          <w:szCs w:val="20"/>
        </w:rPr>
      </w:pPr>
      <w:r>
        <w:rPr>
          <w:rFonts w:ascii="Arial" w:hAnsi="Arial"/>
          <w:color w:val="010000"/>
          <w:sz w:val="20"/>
        </w:rPr>
        <w:t>Approve the plan on procurement and repair of fixed assets with the estimated amount: VND 23,500,000,000 (includin</w:t>
      </w:r>
      <w:r>
        <w:rPr>
          <w:rFonts w:ascii="Arial" w:hAnsi="Arial"/>
          <w:color w:val="010000"/>
          <w:sz w:val="20"/>
        </w:rPr>
        <w:t>g transition expenses from 2023).</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The Board of Directors assigns the Chair of the Board of Directors to direct, organize the implementation and decide on the appropriate form of contractor selection to carry out related work and resolve problems that arise</w:t>
      </w:r>
      <w:r>
        <w:rPr>
          <w:rFonts w:ascii="Arial" w:hAnsi="Arial"/>
          <w:color w:val="010000"/>
          <w:sz w:val="20"/>
        </w:rPr>
        <w:t xml:space="preserve"> during the implementation process, ensuring savings, efficiency and compliance with relevant legal regulations.</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The Corporation reports to the Board of Directors on the results after completing the work.</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Article 8: Approve the plan on share issue</w:t>
      </w:r>
      <w:r>
        <w:rPr>
          <w:rFonts w:ascii="Arial" w:hAnsi="Arial"/>
          <w:color w:val="010000"/>
          <w:sz w:val="20"/>
        </w:rPr>
        <w:t xml:space="preserve"> to pa</w:t>
      </w:r>
      <w:r>
        <w:rPr>
          <w:rFonts w:ascii="Arial" w:hAnsi="Arial"/>
          <w:color w:val="010000"/>
          <w:sz w:val="20"/>
        </w:rPr>
        <w:t>y dividend</w:t>
      </w:r>
      <w:r>
        <w:rPr>
          <w:rFonts w:ascii="Arial" w:hAnsi="Arial"/>
          <w:color w:val="010000"/>
          <w:sz w:val="20"/>
        </w:rPr>
        <w:t xml:space="preserve"> in 2023:</w:t>
      </w:r>
    </w:p>
    <w:p w:rsidR="00F73FC7" w:rsidRDefault="0050419D" w:rsidP="0050419D">
      <w:pPr>
        <w:numPr>
          <w:ilvl w:val="1"/>
          <w:numId w:val="5"/>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Issue plan:</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Share name: Shares of Vietnam National Reinsurance Corporation</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Share code: VNR</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Type of securities to be issued: Common share</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Share par value: VND 10,000/share</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Number of issued common shares: 165,810,617 shares</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Number of outstanding common shares: 165,810,617 shares</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Number of treasury shares: 0 shares</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Number of securities expected to be issued to pay dividend</w:t>
      </w:r>
      <w:r>
        <w:rPr>
          <w:rFonts w:ascii="Arial" w:hAnsi="Arial"/>
          <w:color w:val="010000"/>
          <w:sz w:val="20"/>
        </w:rPr>
        <w:t xml:space="preserve"> by shares: 16,581,061 shares (equivalent to 10% of the total number of outstanding shares)</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Total issue v</w:t>
      </w:r>
      <w:r>
        <w:rPr>
          <w:rFonts w:ascii="Arial" w:hAnsi="Arial"/>
          <w:color w:val="010000"/>
          <w:sz w:val="20"/>
        </w:rPr>
        <w:t xml:space="preserve">alue at par value: </w:t>
      </w:r>
      <w:r>
        <w:rPr>
          <w:rFonts w:ascii="Arial" w:hAnsi="Arial"/>
          <w:color w:val="010000"/>
          <w:sz w:val="20"/>
        </w:rPr>
        <w:t>VND 165,810,610,000</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Expected charter capital after issue</w:t>
      </w:r>
      <w:r>
        <w:rPr>
          <w:rFonts w:ascii="Arial" w:hAnsi="Arial"/>
          <w:color w:val="010000"/>
          <w:sz w:val="20"/>
        </w:rPr>
        <w:t>: VND 1,823,916,780,000</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Subject and form of the issue</w:t>
      </w:r>
      <w:r>
        <w:rPr>
          <w:rFonts w:ascii="Arial" w:hAnsi="Arial"/>
          <w:color w:val="010000"/>
          <w:sz w:val="20"/>
        </w:rPr>
        <w:t xml:space="preserve">: </w:t>
      </w:r>
      <w:r>
        <w:rPr>
          <w:rFonts w:ascii="Arial" w:hAnsi="Arial"/>
          <w:color w:val="010000"/>
          <w:sz w:val="20"/>
        </w:rPr>
        <w:t>issue shares to pay dividend</w:t>
      </w:r>
      <w:r>
        <w:rPr>
          <w:rFonts w:ascii="Arial" w:hAnsi="Arial"/>
          <w:color w:val="010000"/>
          <w:sz w:val="20"/>
        </w:rPr>
        <w:t xml:space="preserve"> to existing shareholders (shareholders </w:t>
      </w:r>
      <w:r>
        <w:rPr>
          <w:rFonts w:ascii="Arial" w:hAnsi="Arial"/>
          <w:color w:val="010000"/>
          <w:sz w:val="20"/>
        </w:rPr>
        <w:lastRenderedPageBreak/>
        <w:t>named in the list of shareholders at the time of re</w:t>
      </w:r>
      <w:r>
        <w:rPr>
          <w:rFonts w:ascii="Arial" w:hAnsi="Arial"/>
          <w:color w:val="010000"/>
          <w:sz w:val="20"/>
        </w:rPr>
        <w:t>cording the list of allocating the rights to pay dividend</w:t>
      </w:r>
      <w:r>
        <w:rPr>
          <w:rFonts w:ascii="Arial" w:hAnsi="Arial"/>
          <w:color w:val="010000"/>
          <w:sz w:val="20"/>
        </w:rPr>
        <w:t xml:space="preserve"> by shares).</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Exercise rate: </w:t>
      </w:r>
      <w:r>
        <w:rPr>
          <w:rFonts w:ascii="Arial" w:hAnsi="Arial"/>
          <w:color w:val="010000"/>
          <w:sz w:val="20"/>
        </w:rPr>
        <w:t>10% (equivalent to the rate of 10:01), meaning that shareholders owning 01 VNR share at the record date for the list will be entitled to 01 rights, and shareholders will receive a dividend of 01 additional share for every 10 rights they own.</w:t>
      </w:r>
    </w:p>
    <w:p w:rsidR="00F73FC7" w:rsidRDefault="0050419D" w:rsidP="0050419D">
      <w:pPr>
        <w:numPr>
          <w:ilvl w:val="0"/>
          <w:numId w:val="8"/>
        </w:numPr>
        <w:pBdr>
          <w:top w:val="nil"/>
          <w:left w:val="nil"/>
          <w:bottom w:val="nil"/>
          <w:right w:val="nil"/>
          <w:between w:val="nil"/>
        </w:pBdr>
        <w:tabs>
          <w:tab w:val="left" w:pos="450"/>
          <w:tab w:val="left" w:pos="706"/>
        </w:tabs>
        <w:spacing w:after="120" w:line="360" w:lineRule="auto"/>
        <w:jc w:val="both"/>
        <w:rPr>
          <w:color w:val="010000"/>
          <w:sz w:val="20"/>
          <w:szCs w:val="20"/>
        </w:rPr>
      </w:pPr>
      <w:r>
        <w:rPr>
          <w:rFonts w:ascii="Arial" w:hAnsi="Arial"/>
          <w:color w:val="010000"/>
          <w:sz w:val="20"/>
        </w:rPr>
        <w:t>Rounding principle: The number of shares paying dividend</w:t>
      </w:r>
      <w:r>
        <w:rPr>
          <w:rFonts w:ascii="Arial" w:hAnsi="Arial"/>
          <w:color w:val="010000"/>
          <w:sz w:val="20"/>
        </w:rPr>
        <w:t xml:space="preserve"> distributed to shareholders will be rounded down to the unit; fractional shares due to the calculation principle will be canceled.</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For example: </w:t>
      </w:r>
      <w:r>
        <w:rPr>
          <w:rFonts w:ascii="Arial" w:hAnsi="Arial"/>
          <w:color w:val="010000"/>
          <w:sz w:val="20"/>
        </w:rPr>
        <w:t>On the record date for the list of shareholders to exe</w:t>
      </w:r>
      <w:r>
        <w:rPr>
          <w:rFonts w:ascii="Arial" w:hAnsi="Arial"/>
          <w:color w:val="010000"/>
          <w:sz w:val="20"/>
        </w:rPr>
        <w:t>rcise the rights to receive dividend</w:t>
      </w:r>
      <w:r>
        <w:rPr>
          <w:rFonts w:ascii="Arial" w:hAnsi="Arial"/>
          <w:color w:val="010000"/>
          <w:sz w:val="20"/>
        </w:rPr>
        <w:t xml:space="preserve"> by shares, shareholder Nguyen Van A currently owns 123 shares.</w:t>
      </w:r>
      <w:r>
        <w:rPr>
          <w:rFonts w:ascii="Arial" w:hAnsi="Arial"/>
          <w:color w:val="010000"/>
          <w:sz w:val="20"/>
        </w:rPr>
        <w:t xml:space="preserve"> At that time, shareholder A will be entitled to 123 rights, 123 rights will be entitled to receive a dividend of 123*10% = 12.3 shares. </w:t>
      </w:r>
      <w:r>
        <w:rPr>
          <w:rFonts w:ascii="Arial" w:hAnsi="Arial"/>
          <w:color w:val="010000"/>
          <w:sz w:val="20"/>
        </w:rPr>
        <w:t>According to the pl</w:t>
      </w:r>
      <w:r>
        <w:rPr>
          <w:rFonts w:ascii="Arial" w:hAnsi="Arial"/>
          <w:color w:val="010000"/>
          <w:sz w:val="20"/>
        </w:rPr>
        <w:t>an of handling fractional shares, the number of shares received by shareholder A after rounding down to the unit is 12 shares, the remaining fractional shares will be canceled.</w:t>
      </w:r>
    </w:p>
    <w:p w:rsidR="00F73FC7" w:rsidRDefault="0050419D" w:rsidP="0050419D">
      <w:pPr>
        <w:numPr>
          <w:ilvl w:val="0"/>
          <w:numId w:val="8"/>
        </w:numPr>
        <w:pBdr>
          <w:top w:val="nil"/>
          <w:left w:val="nil"/>
          <w:bottom w:val="nil"/>
          <w:right w:val="nil"/>
          <w:between w:val="nil"/>
        </w:pBdr>
        <w:tabs>
          <w:tab w:val="left" w:pos="450"/>
          <w:tab w:val="left" w:pos="706"/>
        </w:tabs>
        <w:spacing w:after="120" w:line="360" w:lineRule="auto"/>
        <w:jc w:val="both"/>
        <w:rPr>
          <w:color w:val="010000"/>
          <w:sz w:val="20"/>
          <w:szCs w:val="20"/>
        </w:rPr>
      </w:pPr>
      <w:r>
        <w:rPr>
          <w:rFonts w:ascii="Arial" w:hAnsi="Arial"/>
          <w:color w:val="010000"/>
          <w:sz w:val="20"/>
        </w:rPr>
        <w:t>Capital source for implementation: The expected amount of VND 165,810,610,000 i</w:t>
      </w:r>
      <w:r>
        <w:rPr>
          <w:rFonts w:ascii="Arial" w:hAnsi="Arial"/>
          <w:color w:val="010000"/>
          <w:sz w:val="20"/>
        </w:rPr>
        <w:t>s appropriated from the undistributed profit after tax as of December 31, 2023 according to the Audited Consolidated Financial Statements 2023.</w:t>
      </w:r>
    </w:p>
    <w:p w:rsidR="00F73FC7" w:rsidRDefault="0050419D" w:rsidP="0050419D">
      <w:pPr>
        <w:numPr>
          <w:ilvl w:val="0"/>
          <w:numId w:val="18"/>
        </w:numPr>
        <w:pBdr>
          <w:top w:val="nil"/>
          <w:left w:val="nil"/>
          <w:bottom w:val="nil"/>
          <w:right w:val="nil"/>
          <w:between w:val="nil"/>
        </w:pBdr>
        <w:tabs>
          <w:tab w:val="left" w:pos="450"/>
          <w:tab w:val="left" w:pos="9968"/>
        </w:tabs>
        <w:spacing w:after="120" w:line="360" w:lineRule="auto"/>
        <w:ind w:left="0" w:firstLine="0"/>
        <w:jc w:val="both"/>
        <w:rPr>
          <w:color w:val="010000"/>
          <w:sz w:val="20"/>
          <w:szCs w:val="20"/>
        </w:rPr>
      </w:pPr>
      <w:r>
        <w:rPr>
          <w:rFonts w:ascii="Arial" w:hAnsi="Arial"/>
          <w:color w:val="010000"/>
          <w:sz w:val="20"/>
        </w:rPr>
        <w:t>Transfer restriction: Shares to pay dividend</w:t>
      </w:r>
      <w:r>
        <w:rPr>
          <w:rFonts w:ascii="Arial" w:hAnsi="Arial"/>
          <w:color w:val="010000"/>
          <w:sz w:val="20"/>
        </w:rPr>
        <w:t xml:space="preserve"> are common shares issued to existing shareholders according to the</w:t>
      </w:r>
      <w:r>
        <w:rPr>
          <w:rFonts w:ascii="Arial" w:hAnsi="Arial"/>
          <w:color w:val="010000"/>
          <w:sz w:val="20"/>
        </w:rPr>
        <w:t xml:space="preserve"> rate and without transfer restriction. </w:t>
      </w:r>
      <w:r>
        <w:rPr>
          <w:rFonts w:ascii="Arial" w:hAnsi="Arial"/>
          <w:color w:val="010000"/>
          <w:sz w:val="20"/>
        </w:rPr>
        <w:t>The rights to receive shares paying dividend</w:t>
      </w:r>
      <w:r>
        <w:rPr>
          <w:rFonts w:ascii="Arial" w:hAnsi="Arial"/>
          <w:color w:val="010000"/>
          <w:sz w:val="20"/>
        </w:rPr>
        <w:t xml:space="preserve"> is not transferable.</w:t>
      </w:r>
      <w:r>
        <w:rPr>
          <w:rFonts w:ascii="Arial" w:hAnsi="Arial"/>
          <w:color w:val="010000"/>
          <w:sz w:val="20"/>
        </w:rPr>
        <w:t xml:space="preserve"> </w:t>
      </w:r>
    </w:p>
    <w:p w:rsidR="00F73FC7" w:rsidRDefault="0050419D" w:rsidP="0050419D">
      <w:pPr>
        <w:numPr>
          <w:ilvl w:val="0"/>
          <w:numId w:val="18"/>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Issue time: After being approved by the competent state management agencies. Expected in Q3, Q4/2024</w:t>
      </w:r>
    </w:p>
    <w:p w:rsidR="00F73FC7" w:rsidRDefault="0050419D" w:rsidP="0050419D">
      <w:pPr>
        <w:numPr>
          <w:ilvl w:val="1"/>
          <w:numId w:val="5"/>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Authorization:</w:t>
      </w:r>
      <w:r>
        <w:rPr>
          <w:rFonts w:ascii="Arial" w:hAnsi="Arial"/>
          <w:color w:val="010000"/>
          <w:sz w:val="20"/>
        </w:rPr>
        <w:t xml:space="preserve"> </w:t>
      </w:r>
      <w:r>
        <w:rPr>
          <w:rFonts w:ascii="Arial" w:hAnsi="Arial"/>
          <w:color w:val="010000"/>
          <w:sz w:val="20"/>
        </w:rPr>
        <w:t xml:space="preserve">Submit to the General Meeting </w:t>
      </w:r>
      <w:r>
        <w:rPr>
          <w:rFonts w:ascii="Arial" w:hAnsi="Arial"/>
          <w:color w:val="010000"/>
          <w:sz w:val="20"/>
        </w:rPr>
        <w:t>for approval of assigning and authorizing the Chair of the Board of Directors of Vietnam National Reinsurance Corporation to implement the following tasks:</w:t>
      </w:r>
    </w:p>
    <w:p w:rsidR="00F73FC7" w:rsidRDefault="0050419D" w:rsidP="0050419D">
      <w:pPr>
        <w:numPr>
          <w:ilvl w:val="0"/>
          <w:numId w:val="4"/>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Decide to amend, supplement, or change the plan on sha</w:t>
      </w:r>
      <w:r>
        <w:rPr>
          <w:rFonts w:ascii="Arial" w:hAnsi="Arial"/>
          <w:color w:val="010000"/>
          <w:sz w:val="20"/>
        </w:rPr>
        <w:t>re issue</w:t>
      </w:r>
      <w:r>
        <w:rPr>
          <w:rFonts w:ascii="Arial" w:hAnsi="Arial"/>
          <w:color w:val="010000"/>
          <w:sz w:val="20"/>
        </w:rPr>
        <w:t xml:space="preserve"> to pay dividend</w:t>
      </w:r>
      <w:r>
        <w:rPr>
          <w:rFonts w:ascii="Arial" w:hAnsi="Arial"/>
          <w:color w:val="010000"/>
          <w:sz w:val="20"/>
        </w:rPr>
        <w:t xml:space="preserve"> in 2023 approved by the General Meeting of Shareholders (if deemed necessary or at the request of competent State agencies) in order to implement the most effective plan on share issue</w:t>
      </w:r>
      <w:r>
        <w:rPr>
          <w:rFonts w:ascii="Arial" w:hAnsi="Arial"/>
          <w:color w:val="010000"/>
          <w:sz w:val="20"/>
        </w:rPr>
        <w:t>, comply with relevant laws and regulati</w:t>
      </w:r>
      <w:r>
        <w:rPr>
          <w:rFonts w:ascii="Arial" w:hAnsi="Arial"/>
          <w:color w:val="010000"/>
          <w:sz w:val="20"/>
        </w:rPr>
        <w:t>ons, and ensure the interests of the Company's shareholders;</w:t>
      </w:r>
    </w:p>
    <w:p w:rsidR="00F73FC7" w:rsidRDefault="0050419D" w:rsidP="0050419D">
      <w:pPr>
        <w:numPr>
          <w:ilvl w:val="0"/>
          <w:numId w:val="4"/>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Decide on the selection of the issue time and carry out the issue registration procedures, including the approval of the Ministry of Finance on the increase of the charter capital of the insuranc</w:t>
      </w:r>
      <w:r>
        <w:rPr>
          <w:rFonts w:ascii="Arial" w:hAnsi="Arial"/>
          <w:color w:val="010000"/>
          <w:sz w:val="20"/>
        </w:rPr>
        <w:t>e business and the report on share issue</w:t>
      </w:r>
      <w:r>
        <w:rPr>
          <w:rFonts w:ascii="Arial" w:hAnsi="Arial"/>
          <w:color w:val="010000"/>
          <w:sz w:val="20"/>
        </w:rPr>
        <w:t xml:space="preserve"> to the State Securities Commission ensuring compliance with the provisions of the law.</w:t>
      </w:r>
    </w:p>
    <w:p w:rsidR="00F73FC7" w:rsidRDefault="0050419D" w:rsidP="0050419D">
      <w:pPr>
        <w:numPr>
          <w:ilvl w:val="0"/>
          <w:numId w:val="10"/>
        </w:numPr>
        <w:pBdr>
          <w:top w:val="nil"/>
          <w:left w:val="nil"/>
          <w:bottom w:val="nil"/>
          <w:right w:val="nil"/>
          <w:between w:val="nil"/>
        </w:pBdr>
        <w:tabs>
          <w:tab w:val="left" w:pos="450"/>
          <w:tab w:val="left" w:pos="753"/>
        </w:tabs>
        <w:spacing w:after="120" w:line="360" w:lineRule="auto"/>
        <w:jc w:val="both"/>
        <w:rPr>
          <w:color w:val="010000"/>
          <w:sz w:val="20"/>
          <w:szCs w:val="20"/>
        </w:rPr>
      </w:pPr>
      <w:r>
        <w:rPr>
          <w:rFonts w:ascii="Arial" w:hAnsi="Arial"/>
          <w:color w:val="010000"/>
          <w:sz w:val="20"/>
        </w:rPr>
        <w:t xml:space="preserve">Carry out relevant legal procedures after completing capital increase: </w:t>
      </w:r>
      <w:r>
        <w:rPr>
          <w:rFonts w:ascii="Arial" w:hAnsi="Arial"/>
          <w:color w:val="010000"/>
          <w:sz w:val="20"/>
        </w:rPr>
        <w:t xml:space="preserve">Register to increase charter capital, adjust license of the Corporation with competent state agencies; amend the item on charter capital in the Charter of Organization &amp; Operation and other legal documents under applicable laws </w:t>
      </w:r>
      <w:r>
        <w:rPr>
          <w:rFonts w:ascii="Arial" w:hAnsi="Arial"/>
          <w:color w:val="010000"/>
          <w:sz w:val="20"/>
        </w:rPr>
        <w:t>and the Corporation's C</w:t>
      </w:r>
      <w:r>
        <w:rPr>
          <w:rFonts w:ascii="Arial" w:hAnsi="Arial"/>
          <w:color w:val="010000"/>
          <w:sz w:val="20"/>
        </w:rPr>
        <w:t>harter.</w:t>
      </w:r>
    </w:p>
    <w:p w:rsidR="00F73FC7" w:rsidRDefault="0050419D" w:rsidP="0050419D">
      <w:pPr>
        <w:numPr>
          <w:ilvl w:val="0"/>
          <w:numId w:val="10"/>
        </w:numPr>
        <w:pBdr>
          <w:top w:val="nil"/>
          <w:left w:val="nil"/>
          <w:bottom w:val="nil"/>
          <w:right w:val="nil"/>
          <w:between w:val="nil"/>
        </w:pBdr>
        <w:tabs>
          <w:tab w:val="left" w:pos="450"/>
          <w:tab w:val="left" w:pos="753"/>
        </w:tabs>
        <w:spacing w:after="120" w:line="360" w:lineRule="auto"/>
        <w:jc w:val="both"/>
        <w:rPr>
          <w:color w:val="010000"/>
          <w:sz w:val="20"/>
          <w:szCs w:val="20"/>
        </w:rPr>
      </w:pPr>
      <w:r>
        <w:rPr>
          <w:rFonts w:ascii="Arial" w:hAnsi="Arial"/>
          <w:color w:val="010000"/>
          <w:sz w:val="20"/>
        </w:rPr>
        <w:t>Prepare the dossier and necessary documents to register for additional depository of VNR shares at VSDC and register for additional listing of shares on HNX under applicable laws</w:t>
      </w:r>
      <w:r>
        <w:rPr>
          <w:rFonts w:ascii="Arial" w:hAnsi="Arial"/>
          <w:color w:val="010000"/>
          <w:sz w:val="20"/>
        </w:rPr>
        <w:t>.</w:t>
      </w:r>
    </w:p>
    <w:p w:rsidR="00F73FC7" w:rsidRDefault="0050419D" w:rsidP="0050419D">
      <w:pPr>
        <w:numPr>
          <w:ilvl w:val="0"/>
          <w:numId w:val="4"/>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lastRenderedPageBreak/>
        <w:t>Carry out other tasks and procedures that the Chair of the Boar</w:t>
      </w:r>
      <w:r>
        <w:rPr>
          <w:rFonts w:ascii="Arial" w:hAnsi="Arial"/>
          <w:color w:val="010000"/>
          <w:sz w:val="20"/>
        </w:rPr>
        <w:t>d of Directors deems necessary to complete the share issue</w:t>
      </w:r>
      <w:r>
        <w:rPr>
          <w:rFonts w:ascii="Arial" w:hAnsi="Arial"/>
          <w:color w:val="010000"/>
          <w:sz w:val="20"/>
        </w:rPr>
        <w:t xml:space="preserve"> to pay dividend</w:t>
      </w:r>
      <w:r>
        <w:rPr>
          <w:rFonts w:ascii="Arial" w:hAnsi="Arial"/>
          <w:color w:val="010000"/>
          <w:sz w:val="20"/>
        </w:rPr>
        <w:t xml:space="preserve"> according to the issue plan approved by the General Meeting of Shareholders under applicable laws</w:t>
      </w:r>
      <w:r>
        <w:rPr>
          <w:rFonts w:ascii="Arial" w:hAnsi="Arial"/>
          <w:color w:val="010000"/>
          <w:sz w:val="20"/>
        </w:rPr>
        <w:t>.</w:t>
      </w:r>
    </w:p>
    <w:p w:rsidR="00F73FC7" w:rsidRDefault="0050419D" w:rsidP="0050419D">
      <w:pPr>
        <w:numPr>
          <w:ilvl w:val="0"/>
          <w:numId w:val="4"/>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The Chair of the Board of Directors reports the issue results at the near</w:t>
      </w:r>
      <w:r>
        <w:rPr>
          <w:rFonts w:ascii="Arial" w:hAnsi="Arial"/>
          <w:color w:val="010000"/>
          <w:sz w:val="20"/>
        </w:rPr>
        <w:t>est General Meeting of Shareholders.</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Article 9: Approve the internal audit plan 2024:</w:t>
      </w:r>
    </w:p>
    <w:p w:rsidR="00F73FC7" w:rsidRDefault="0050419D" w:rsidP="0050419D">
      <w:pPr>
        <w:numPr>
          <w:ilvl w:val="0"/>
          <w:numId w:val="6"/>
        </w:numPr>
        <w:pBdr>
          <w:top w:val="nil"/>
          <w:left w:val="nil"/>
          <w:bottom w:val="nil"/>
          <w:right w:val="nil"/>
          <w:between w:val="nil"/>
        </w:pBdr>
        <w:tabs>
          <w:tab w:val="left" w:pos="450"/>
          <w:tab w:val="left" w:pos="766"/>
        </w:tabs>
        <w:spacing w:after="120" w:line="360" w:lineRule="auto"/>
        <w:jc w:val="both"/>
        <w:rPr>
          <w:rFonts w:ascii="Arial" w:eastAsia="Arial" w:hAnsi="Arial" w:cs="Arial"/>
          <w:color w:val="010000"/>
          <w:sz w:val="20"/>
          <w:szCs w:val="20"/>
        </w:rPr>
      </w:pPr>
      <w:r>
        <w:rPr>
          <w:rFonts w:ascii="Arial" w:hAnsi="Arial"/>
          <w:color w:val="010000"/>
          <w:sz w:val="20"/>
        </w:rPr>
        <w:t>BCA Department</w:t>
      </w:r>
    </w:p>
    <w:p w:rsidR="00F73FC7" w:rsidRDefault="0050419D" w:rsidP="0050419D">
      <w:pPr>
        <w:numPr>
          <w:ilvl w:val="0"/>
          <w:numId w:val="7"/>
        </w:numPr>
        <w:pBdr>
          <w:top w:val="nil"/>
          <w:left w:val="nil"/>
          <w:bottom w:val="nil"/>
          <w:right w:val="nil"/>
          <w:between w:val="nil"/>
        </w:pBdr>
        <w:tabs>
          <w:tab w:val="left" w:pos="450"/>
          <w:tab w:val="left" w:pos="1001"/>
        </w:tabs>
        <w:spacing w:after="120" w:line="360" w:lineRule="auto"/>
        <w:jc w:val="both"/>
        <w:rPr>
          <w:color w:val="010000"/>
          <w:sz w:val="20"/>
          <w:szCs w:val="20"/>
        </w:rPr>
      </w:pPr>
      <w:r>
        <w:rPr>
          <w:rFonts w:ascii="Arial" w:hAnsi="Arial"/>
          <w:color w:val="010000"/>
          <w:sz w:val="20"/>
        </w:rPr>
        <w:t>Compensation handling process</w:t>
      </w:r>
    </w:p>
    <w:p w:rsidR="00F73FC7" w:rsidRDefault="0050419D" w:rsidP="0050419D">
      <w:pPr>
        <w:numPr>
          <w:ilvl w:val="0"/>
          <w:numId w:val="7"/>
        </w:numPr>
        <w:pBdr>
          <w:top w:val="nil"/>
          <w:left w:val="nil"/>
          <w:bottom w:val="nil"/>
          <w:right w:val="nil"/>
          <w:between w:val="nil"/>
        </w:pBdr>
        <w:tabs>
          <w:tab w:val="left" w:pos="450"/>
          <w:tab w:val="left" w:pos="998"/>
        </w:tabs>
        <w:spacing w:after="120" w:line="360" w:lineRule="auto"/>
        <w:jc w:val="both"/>
        <w:rPr>
          <w:color w:val="010000"/>
          <w:sz w:val="20"/>
          <w:szCs w:val="20"/>
        </w:rPr>
      </w:pPr>
      <w:r>
        <w:rPr>
          <w:rFonts w:ascii="Arial" w:hAnsi="Arial"/>
          <w:color w:val="010000"/>
          <w:sz w:val="20"/>
        </w:rPr>
        <w:t>Debt reconciliation and payment process</w:t>
      </w:r>
    </w:p>
    <w:p w:rsidR="00F73FC7" w:rsidRDefault="0050419D" w:rsidP="0050419D">
      <w:pPr>
        <w:numPr>
          <w:ilvl w:val="0"/>
          <w:numId w:val="7"/>
        </w:numPr>
        <w:pBdr>
          <w:top w:val="nil"/>
          <w:left w:val="nil"/>
          <w:bottom w:val="nil"/>
          <w:right w:val="nil"/>
          <w:between w:val="nil"/>
        </w:pBdr>
        <w:tabs>
          <w:tab w:val="left" w:pos="450"/>
          <w:tab w:val="left" w:pos="1001"/>
        </w:tabs>
        <w:spacing w:after="120" w:line="360" w:lineRule="auto"/>
        <w:jc w:val="both"/>
        <w:rPr>
          <w:color w:val="010000"/>
          <w:sz w:val="20"/>
          <w:szCs w:val="20"/>
        </w:rPr>
      </w:pPr>
      <w:r>
        <w:rPr>
          <w:rFonts w:ascii="Arial" w:hAnsi="Arial"/>
          <w:color w:val="010000"/>
          <w:sz w:val="20"/>
        </w:rPr>
        <w:t>Process of generating reinsurance documents</w:t>
      </w:r>
    </w:p>
    <w:p w:rsidR="00F73FC7" w:rsidRDefault="0050419D" w:rsidP="0050419D">
      <w:pPr>
        <w:numPr>
          <w:ilvl w:val="0"/>
          <w:numId w:val="9"/>
        </w:numPr>
        <w:pBdr>
          <w:top w:val="nil"/>
          <w:left w:val="nil"/>
          <w:bottom w:val="nil"/>
          <w:right w:val="nil"/>
          <w:between w:val="nil"/>
        </w:pBdr>
        <w:tabs>
          <w:tab w:val="left" w:pos="450"/>
          <w:tab w:val="left" w:pos="762"/>
        </w:tabs>
        <w:spacing w:after="120" w:line="360" w:lineRule="auto"/>
        <w:jc w:val="both"/>
        <w:rPr>
          <w:color w:val="010000"/>
          <w:sz w:val="20"/>
          <w:szCs w:val="20"/>
        </w:rPr>
      </w:pPr>
      <w:r>
        <w:rPr>
          <w:rFonts w:ascii="Arial" w:hAnsi="Arial"/>
          <w:color w:val="010000"/>
          <w:sz w:val="20"/>
        </w:rPr>
        <w:t xml:space="preserve">Property Department: </w:t>
      </w:r>
      <w:r>
        <w:rPr>
          <w:rFonts w:ascii="Arial" w:hAnsi="Arial"/>
          <w:color w:val="010000"/>
          <w:sz w:val="20"/>
        </w:rPr>
        <w:t>Process of accepting reinsurance services</w:t>
      </w:r>
    </w:p>
    <w:p w:rsidR="00F73FC7" w:rsidRDefault="0050419D" w:rsidP="0050419D">
      <w:pPr>
        <w:numPr>
          <w:ilvl w:val="0"/>
          <w:numId w:val="9"/>
        </w:numPr>
        <w:pBdr>
          <w:top w:val="nil"/>
          <w:left w:val="nil"/>
          <w:bottom w:val="nil"/>
          <w:right w:val="nil"/>
          <w:between w:val="nil"/>
        </w:pBdr>
        <w:tabs>
          <w:tab w:val="left" w:pos="450"/>
          <w:tab w:val="left" w:pos="745"/>
        </w:tabs>
        <w:spacing w:after="120" w:line="360" w:lineRule="auto"/>
        <w:jc w:val="both"/>
        <w:rPr>
          <w:color w:val="010000"/>
          <w:sz w:val="20"/>
          <w:szCs w:val="20"/>
        </w:rPr>
      </w:pPr>
      <w:r>
        <w:rPr>
          <w:rFonts w:ascii="Arial" w:hAnsi="Arial"/>
          <w:color w:val="010000"/>
          <w:sz w:val="20"/>
        </w:rPr>
        <w:t>Marketing Department: Process of accepting foreign contracts</w:t>
      </w:r>
    </w:p>
    <w:p w:rsidR="00F73FC7" w:rsidRDefault="0050419D" w:rsidP="0050419D">
      <w:pPr>
        <w:numPr>
          <w:ilvl w:val="0"/>
          <w:numId w:val="9"/>
        </w:numPr>
        <w:pBdr>
          <w:top w:val="nil"/>
          <w:left w:val="nil"/>
          <w:bottom w:val="nil"/>
          <w:right w:val="nil"/>
          <w:between w:val="nil"/>
        </w:pBdr>
        <w:tabs>
          <w:tab w:val="left" w:pos="450"/>
          <w:tab w:val="left" w:pos="769"/>
        </w:tabs>
        <w:spacing w:after="120" w:line="360" w:lineRule="auto"/>
        <w:jc w:val="both"/>
        <w:rPr>
          <w:color w:val="010000"/>
          <w:sz w:val="20"/>
          <w:szCs w:val="20"/>
        </w:rPr>
      </w:pPr>
      <w:r>
        <w:rPr>
          <w:rFonts w:ascii="Arial" w:hAnsi="Arial"/>
          <w:color w:val="010000"/>
          <w:sz w:val="20"/>
        </w:rPr>
        <w:t>Investment Board: Capital contributions with VNRI</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Approve on the policy of establishing ESG under the Board of Directors.</w:t>
      </w:r>
      <w:r>
        <w:rPr>
          <w:rFonts w:ascii="Arial" w:hAnsi="Arial"/>
          <w:color w:val="010000"/>
          <w:sz w:val="20"/>
        </w:rPr>
        <w:t xml:space="preserve"> </w:t>
      </w:r>
      <w:r>
        <w:rPr>
          <w:rFonts w:ascii="Arial" w:hAnsi="Arial"/>
          <w:color w:val="010000"/>
          <w:sz w:val="20"/>
        </w:rPr>
        <w:t>Request the Human Resources Subcommittee to report on the operational plan, work content and expected personnel to participate in ESG and submit to the Board of Directors.</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Article 11: Approve and submit to the General Meeting of Shareholders for approval o</w:t>
      </w:r>
      <w:r>
        <w:rPr>
          <w:rFonts w:ascii="Arial" w:hAnsi="Arial"/>
          <w:color w:val="010000"/>
          <w:sz w:val="20"/>
        </w:rPr>
        <w:t>f the Supervisory Board’s proposal:</w:t>
      </w:r>
    </w:p>
    <w:p w:rsidR="00F73FC7" w:rsidRDefault="0050419D" w:rsidP="0050419D">
      <w:pPr>
        <w:numPr>
          <w:ilvl w:val="1"/>
          <w:numId w:val="11"/>
        </w:numPr>
        <w:pBdr>
          <w:top w:val="nil"/>
          <w:left w:val="nil"/>
          <w:bottom w:val="nil"/>
          <w:right w:val="nil"/>
          <w:between w:val="nil"/>
        </w:pBdr>
        <w:tabs>
          <w:tab w:val="left" w:pos="450"/>
          <w:tab w:val="left" w:pos="546"/>
          <w:tab w:val="left" w:pos="9990"/>
        </w:tabs>
        <w:spacing w:after="120" w:line="360" w:lineRule="auto"/>
        <w:jc w:val="both"/>
        <w:rPr>
          <w:color w:val="010000"/>
          <w:sz w:val="20"/>
          <w:szCs w:val="20"/>
        </w:rPr>
      </w:pPr>
      <w:r>
        <w:rPr>
          <w:rFonts w:ascii="Arial" w:hAnsi="Arial"/>
          <w:color w:val="010000"/>
          <w:sz w:val="20"/>
        </w:rPr>
        <w:t>Approve the list of independent audit companies for audit in 2024, including the following companies:</w:t>
      </w:r>
      <w:r>
        <w:rPr>
          <w:rFonts w:ascii="Arial" w:hAnsi="Arial"/>
          <w:color w:val="010000"/>
          <w:sz w:val="20"/>
        </w:rPr>
        <w:t xml:space="preserve"> </w:t>
      </w:r>
    </w:p>
    <w:p w:rsidR="00F73FC7" w:rsidRDefault="0050419D" w:rsidP="0050419D">
      <w:pPr>
        <w:numPr>
          <w:ilvl w:val="0"/>
          <w:numId w:val="12"/>
        </w:numPr>
        <w:pBdr>
          <w:top w:val="nil"/>
          <w:left w:val="nil"/>
          <w:bottom w:val="nil"/>
          <w:right w:val="nil"/>
          <w:between w:val="nil"/>
        </w:pBdr>
        <w:tabs>
          <w:tab w:val="left" w:pos="450"/>
          <w:tab w:val="left" w:pos="1130"/>
        </w:tabs>
        <w:spacing w:after="120" w:line="360" w:lineRule="auto"/>
        <w:jc w:val="both"/>
        <w:rPr>
          <w:color w:val="010000"/>
          <w:sz w:val="20"/>
          <w:szCs w:val="20"/>
        </w:rPr>
      </w:pPr>
      <w:r>
        <w:rPr>
          <w:rFonts w:ascii="Arial" w:hAnsi="Arial"/>
          <w:color w:val="010000"/>
          <w:sz w:val="20"/>
        </w:rPr>
        <w:t>KPMG Limited</w:t>
      </w:r>
    </w:p>
    <w:p w:rsidR="00F73FC7" w:rsidRDefault="0050419D" w:rsidP="0050419D">
      <w:pPr>
        <w:numPr>
          <w:ilvl w:val="0"/>
          <w:numId w:val="12"/>
        </w:numPr>
        <w:pBdr>
          <w:top w:val="nil"/>
          <w:left w:val="nil"/>
          <w:bottom w:val="nil"/>
          <w:right w:val="nil"/>
          <w:between w:val="nil"/>
        </w:pBdr>
        <w:tabs>
          <w:tab w:val="left" w:pos="450"/>
          <w:tab w:val="left" w:pos="1130"/>
        </w:tabs>
        <w:spacing w:after="120" w:line="360" w:lineRule="auto"/>
        <w:jc w:val="both"/>
        <w:rPr>
          <w:color w:val="010000"/>
          <w:sz w:val="20"/>
          <w:szCs w:val="20"/>
        </w:rPr>
      </w:pPr>
      <w:r>
        <w:rPr>
          <w:rFonts w:ascii="Arial" w:hAnsi="Arial"/>
          <w:color w:val="010000"/>
          <w:sz w:val="20"/>
        </w:rPr>
        <w:t>Deloitte Vietnam Audit Company Limited</w:t>
      </w:r>
    </w:p>
    <w:p w:rsidR="00F73FC7" w:rsidRDefault="0050419D" w:rsidP="0050419D">
      <w:pPr>
        <w:numPr>
          <w:ilvl w:val="0"/>
          <w:numId w:val="12"/>
        </w:numPr>
        <w:pBdr>
          <w:top w:val="nil"/>
          <w:left w:val="nil"/>
          <w:bottom w:val="nil"/>
          <w:right w:val="nil"/>
          <w:between w:val="nil"/>
        </w:pBdr>
        <w:tabs>
          <w:tab w:val="left" w:pos="450"/>
          <w:tab w:val="left" w:pos="1130"/>
        </w:tabs>
        <w:spacing w:after="120" w:line="360" w:lineRule="auto"/>
        <w:jc w:val="both"/>
        <w:rPr>
          <w:color w:val="010000"/>
          <w:sz w:val="20"/>
          <w:szCs w:val="20"/>
        </w:rPr>
      </w:pPr>
      <w:r>
        <w:rPr>
          <w:rFonts w:ascii="Arial" w:hAnsi="Arial"/>
          <w:color w:val="010000"/>
          <w:sz w:val="20"/>
        </w:rPr>
        <w:t>Ernst &amp; Young Viet Nam Limited</w:t>
      </w:r>
    </w:p>
    <w:p w:rsidR="00F73FC7" w:rsidRDefault="0050419D" w:rsidP="0050419D">
      <w:pPr>
        <w:numPr>
          <w:ilvl w:val="0"/>
          <w:numId w:val="12"/>
        </w:numPr>
        <w:pBdr>
          <w:top w:val="nil"/>
          <w:left w:val="nil"/>
          <w:bottom w:val="nil"/>
          <w:right w:val="nil"/>
          <w:between w:val="nil"/>
        </w:pBdr>
        <w:tabs>
          <w:tab w:val="left" w:pos="450"/>
          <w:tab w:val="left" w:pos="1130"/>
        </w:tabs>
        <w:spacing w:after="120" w:line="360" w:lineRule="auto"/>
        <w:jc w:val="both"/>
        <w:rPr>
          <w:color w:val="010000"/>
          <w:sz w:val="20"/>
          <w:szCs w:val="20"/>
        </w:rPr>
      </w:pPr>
      <w:r>
        <w:rPr>
          <w:rFonts w:ascii="Arial" w:hAnsi="Arial"/>
          <w:color w:val="010000"/>
          <w:sz w:val="20"/>
        </w:rPr>
        <w:t>PWC (Vietnam) Limited</w:t>
      </w:r>
    </w:p>
    <w:p w:rsidR="00F73FC7" w:rsidRDefault="0050419D" w:rsidP="0050419D">
      <w:pPr>
        <w:numPr>
          <w:ilvl w:val="1"/>
          <w:numId w:val="11"/>
        </w:numPr>
        <w:pBdr>
          <w:top w:val="nil"/>
          <w:left w:val="nil"/>
          <w:bottom w:val="nil"/>
          <w:right w:val="nil"/>
          <w:between w:val="nil"/>
        </w:pBdr>
        <w:tabs>
          <w:tab w:val="left" w:pos="450"/>
          <w:tab w:val="left" w:pos="567"/>
        </w:tabs>
        <w:spacing w:after="120" w:line="360" w:lineRule="auto"/>
        <w:jc w:val="both"/>
        <w:rPr>
          <w:color w:val="010000"/>
          <w:sz w:val="20"/>
          <w:szCs w:val="20"/>
        </w:rPr>
      </w:pPr>
      <w:r>
        <w:rPr>
          <w:rFonts w:ascii="Arial" w:hAnsi="Arial"/>
          <w:color w:val="010000"/>
          <w:sz w:val="20"/>
        </w:rPr>
        <w:t>Authorize the Board of Directors to decide to select 01 independent audit company from the approved list to audit the Financial Statements 2024.</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12: </w:t>
      </w:r>
      <w:r>
        <w:rPr>
          <w:rFonts w:ascii="Arial" w:hAnsi="Arial"/>
          <w:color w:val="010000"/>
          <w:sz w:val="20"/>
        </w:rPr>
        <w:t>The Board of Directors authorizes the Chair of the Board of Directors to approve documents submitted to the Annual General Meeting of Shareholders 2024 and resolve other arising tasks related to the organization of the Annual General Meeting of Shareholder</w:t>
      </w:r>
      <w:r>
        <w:rPr>
          <w:rFonts w:ascii="Arial" w:hAnsi="Arial"/>
          <w:color w:val="010000"/>
          <w:sz w:val="20"/>
        </w:rPr>
        <w:t>s 2024.</w:t>
      </w:r>
    </w:p>
    <w:p w:rsidR="00F73FC7" w:rsidRDefault="0050419D" w:rsidP="0050419D">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Article 13: </w:t>
      </w:r>
      <w:r>
        <w:rPr>
          <w:rFonts w:ascii="Arial" w:hAnsi="Arial"/>
          <w:color w:val="010000"/>
          <w:sz w:val="20"/>
        </w:rPr>
        <w:t xml:space="preserve">This Board </w:t>
      </w:r>
      <w:bookmarkStart w:id="0" w:name="_GoBack"/>
      <w:bookmarkEnd w:id="0"/>
      <w:r>
        <w:rPr>
          <w:rFonts w:ascii="Arial" w:hAnsi="Arial"/>
          <w:color w:val="010000"/>
          <w:sz w:val="20"/>
        </w:rPr>
        <w:t>Resolution takes effect from the date of its signing.</w:t>
      </w:r>
      <w:r>
        <w:rPr>
          <w:rFonts w:ascii="Arial" w:hAnsi="Arial"/>
          <w:color w:val="010000"/>
          <w:sz w:val="20"/>
        </w:rPr>
        <w:t xml:space="preserve"> </w:t>
      </w:r>
      <w:r>
        <w:rPr>
          <w:rFonts w:ascii="Arial" w:hAnsi="Arial"/>
          <w:color w:val="010000"/>
          <w:sz w:val="20"/>
        </w:rPr>
        <w:t>Members of the Board of Directors, Managing Director</w:t>
      </w:r>
      <w:r>
        <w:rPr>
          <w:rFonts w:ascii="Arial" w:hAnsi="Arial"/>
          <w:color w:val="010000"/>
          <w:sz w:val="20"/>
        </w:rPr>
        <w:t xml:space="preserve"> of the Corporation and related units and individuals are responsible for implementing this Resolution./.</w:t>
      </w:r>
    </w:p>
    <w:sectPr w:rsidR="00F73FC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317"/>
    <w:multiLevelType w:val="multilevel"/>
    <w:tmpl w:val="5AD642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C23827"/>
    <w:multiLevelType w:val="multilevel"/>
    <w:tmpl w:val="EFA403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73E1F2C"/>
    <w:multiLevelType w:val="multilevel"/>
    <w:tmpl w:val="3872D18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FA2E42"/>
    <w:multiLevelType w:val="multilevel"/>
    <w:tmpl w:val="8EBA10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A84DBD"/>
    <w:multiLevelType w:val="multilevel"/>
    <w:tmpl w:val="38F8FD44"/>
    <w:lvl w:ilvl="0">
      <w:start w:val="8"/>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B92BF0"/>
    <w:multiLevelType w:val="multilevel"/>
    <w:tmpl w:val="B99041BC"/>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00432B"/>
    <w:multiLevelType w:val="multilevel"/>
    <w:tmpl w:val="F9B8C7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0D7FFE"/>
    <w:multiLevelType w:val="multilevel"/>
    <w:tmpl w:val="352C64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496EB9"/>
    <w:multiLevelType w:val="multilevel"/>
    <w:tmpl w:val="DC568550"/>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00063EE"/>
    <w:multiLevelType w:val="multilevel"/>
    <w:tmpl w:val="F6EEA342"/>
    <w:lvl w:ilvl="0">
      <w:start w:val="1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0936276"/>
    <w:multiLevelType w:val="multilevel"/>
    <w:tmpl w:val="3210EB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61D5722"/>
    <w:multiLevelType w:val="multilevel"/>
    <w:tmpl w:val="183ACA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02E1799"/>
    <w:multiLevelType w:val="multilevel"/>
    <w:tmpl w:val="05284F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5397E3C"/>
    <w:multiLevelType w:val="multilevel"/>
    <w:tmpl w:val="30BABE8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6866BB0"/>
    <w:multiLevelType w:val="multilevel"/>
    <w:tmpl w:val="404046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AA228BA"/>
    <w:multiLevelType w:val="multilevel"/>
    <w:tmpl w:val="50D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502DFA"/>
    <w:multiLevelType w:val="multilevel"/>
    <w:tmpl w:val="2D78DA20"/>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8E50E5"/>
    <w:multiLevelType w:val="multilevel"/>
    <w:tmpl w:val="3392B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3"/>
  </w:num>
  <w:num w:numId="4">
    <w:abstractNumId w:val="0"/>
  </w:num>
  <w:num w:numId="5">
    <w:abstractNumId w:val="4"/>
  </w:num>
  <w:num w:numId="6">
    <w:abstractNumId w:val="16"/>
  </w:num>
  <w:num w:numId="7">
    <w:abstractNumId w:val="6"/>
  </w:num>
  <w:num w:numId="8">
    <w:abstractNumId w:val="14"/>
  </w:num>
  <w:num w:numId="9">
    <w:abstractNumId w:val="1"/>
  </w:num>
  <w:num w:numId="10">
    <w:abstractNumId w:val="7"/>
  </w:num>
  <w:num w:numId="11">
    <w:abstractNumId w:val="9"/>
  </w:num>
  <w:num w:numId="12">
    <w:abstractNumId w:val="13"/>
  </w:num>
  <w:num w:numId="13">
    <w:abstractNumId w:val="11"/>
  </w:num>
  <w:num w:numId="14">
    <w:abstractNumId w:val="8"/>
  </w:num>
  <w:num w:numId="15">
    <w:abstractNumId w:val="12"/>
  </w:num>
  <w:num w:numId="16">
    <w:abstractNumId w:val="1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C7"/>
    <w:rsid w:val="0050419D"/>
    <w:rsid w:val="00F7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BDA2"/>
  <w15:docId w15:val="{1237DDD9-8727-47B2-A2DE-9BD76E0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ind w:firstLine="2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i/>
      <w:iCs/>
    </w:rPr>
  </w:style>
  <w:style w:type="paragraph" w:customStyle="1" w:styleId="Other0">
    <w:name w:val="Other"/>
    <w:basedOn w:val="Normal"/>
    <w:link w:val="Other"/>
    <w:pPr>
      <w:ind w:firstLine="20"/>
    </w:pPr>
    <w:rPr>
      <w:rFonts w:ascii="Times New Roman" w:eastAsia="Times New Roman" w:hAnsi="Times New Roman" w:cs="Times New Roman"/>
    </w:rPr>
  </w:style>
  <w:style w:type="paragraph" w:customStyle="1" w:styleId="Heading21">
    <w:name w:val="Heading #2"/>
    <w:basedOn w:val="Normal"/>
    <w:link w:val="Heading20"/>
    <w:pPr>
      <w:spacing w:line="276" w:lineRule="auto"/>
      <w:ind w:left="190"/>
      <w:outlineLvl w:val="1"/>
    </w:pPr>
    <w:rPr>
      <w:rFonts w:ascii="Times New Roman" w:eastAsia="Times New Roman" w:hAnsi="Times New Roman" w:cs="Times New Roman"/>
      <w:b/>
      <w:bCs/>
      <w:i/>
      <w:iCs/>
    </w:rPr>
  </w:style>
  <w:style w:type="paragraph" w:customStyle="1" w:styleId="Bodytext30">
    <w:name w:val="Body text (3)"/>
    <w:basedOn w:val="Normal"/>
    <w:link w:val="Bodytext3"/>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QBXP+cJgnjOYEqmfRaoYsutXA==">CgMxLjA4AHIhMXRpekNqYXNaU1hwM1V5cDl3S05xUWlYdVJadDE3NzBa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2024-04-05T04:04:00Z</dcterms:created>
  <dcterms:modified xsi:type="dcterms:W3CDTF">2024-04-05T04:04:00Z</dcterms:modified>
</cp:coreProperties>
</file>