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Pr>
          <w:rFonts w:ascii="Arial" w:hAnsi="Arial"/>
          <w:b/>
          <w:color w:val="010000"/>
          <w:sz w:val="20"/>
        </w:rPr>
        <w:t>VTJ: Explanation on fluctuations in Financial Statements 2023</w:t>
      </w:r>
    </w:p>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On April 3, 2024, Vi Na Ta Ba Trading &amp; Investment Joint-stock Company announced Official Dispatch No. 06/2024/VNTB/CV on the explanation of fluctuations in the Audited Financial Statements 2023 as follows:</w:t>
      </w:r>
    </w:p>
    <w:p w:rsidR="00BC0938" w:rsidRDefault="00373950" w:rsidP="004E4C6D">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Explanation on the reasons for profit after tax i</w:t>
      </w:r>
      <w:r>
        <w:rPr>
          <w:rFonts w:ascii="Arial" w:hAnsi="Arial"/>
          <w:color w:val="010000"/>
          <w:sz w:val="20"/>
        </w:rPr>
        <w:t>n 2023 compared to that in 2022:</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3"/>
        <w:gridCol w:w="1692"/>
        <w:gridCol w:w="2050"/>
        <w:gridCol w:w="1562"/>
      </w:tblGrid>
      <w:tr w:rsidR="00BC0938">
        <w:tc>
          <w:tcPr>
            <w:tcW w:w="3713"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Targets  (Unit: Million VND)</w:t>
            </w:r>
          </w:p>
        </w:tc>
        <w:tc>
          <w:tcPr>
            <w:tcW w:w="1692"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2023</w:t>
            </w:r>
          </w:p>
        </w:tc>
        <w:tc>
          <w:tcPr>
            <w:tcW w:w="2050"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2022</w:t>
            </w:r>
          </w:p>
        </w:tc>
        <w:tc>
          <w:tcPr>
            <w:tcW w:w="1562"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Difference %</w:t>
            </w:r>
          </w:p>
        </w:tc>
      </w:tr>
      <w:tr w:rsidR="00BC0938">
        <w:tc>
          <w:tcPr>
            <w:tcW w:w="3713"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1 Profit after tax in the Separate Financial Statements</w:t>
            </w:r>
          </w:p>
        </w:tc>
        <w:tc>
          <w:tcPr>
            <w:tcW w:w="1692"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3,568</w:t>
            </w:r>
          </w:p>
        </w:tc>
        <w:tc>
          <w:tcPr>
            <w:tcW w:w="2050"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635</w:t>
            </w:r>
          </w:p>
        </w:tc>
        <w:tc>
          <w:tcPr>
            <w:tcW w:w="1562"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461%</w:t>
            </w:r>
          </w:p>
        </w:tc>
      </w:tr>
      <w:tr w:rsidR="00BC0938">
        <w:tc>
          <w:tcPr>
            <w:tcW w:w="3713"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2. </w:t>
            </w:r>
            <w:r>
              <w:rPr>
                <w:rFonts w:ascii="Arial" w:hAnsi="Arial"/>
                <w:color w:val="010000"/>
                <w:sz w:val="20"/>
              </w:rPr>
              <w:t>Profit after tax in the Consolidated Financial Statements</w:t>
            </w:r>
          </w:p>
        </w:tc>
        <w:tc>
          <w:tcPr>
            <w:tcW w:w="1692"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3,849</w:t>
            </w:r>
          </w:p>
        </w:tc>
        <w:tc>
          <w:tcPr>
            <w:tcW w:w="2050"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1,084</w:t>
            </w:r>
          </w:p>
        </w:tc>
        <w:tc>
          <w:tcPr>
            <w:tcW w:w="1562"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255%</w:t>
            </w:r>
          </w:p>
        </w:tc>
      </w:tr>
    </w:tbl>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In 2023, the holding company's profit after tax reached VND 3.5 billion and the Consolidated Financial Statements reached VND 3.8 billion, much better than that in 2022, mainly due to the reversal of provisions at the joint ventures and profits from produc</w:t>
      </w:r>
      <w:r>
        <w:rPr>
          <w:rFonts w:ascii="Arial" w:hAnsi="Arial"/>
          <w:color w:val="010000"/>
          <w:sz w:val="20"/>
        </w:rPr>
        <w:t>tion and business during the year.</w:t>
      </w:r>
    </w:p>
    <w:p w:rsidR="00BC0938" w:rsidRDefault="00373950" w:rsidP="004E4C6D">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Explanation on the differences in profit after tax in the Financial Statements 2023 before and after audit:</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4"/>
        <w:gridCol w:w="1825"/>
        <w:gridCol w:w="2148"/>
        <w:gridCol w:w="1340"/>
      </w:tblGrid>
      <w:tr w:rsidR="00BC0938">
        <w:tc>
          <w:tcPr>
            <w:tcW w:w="3704"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Target  (Unit: Million VND)</w:t>
            </w:r>
          </w:p>
        </w:tc>
        <w:tc>
          <w:tcPr>
            <w:tcW w:w="1825"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2023 (after audit)</w:t>
            </w:r>
          </w:p>
        </w:tc>
        <w:tc>
          <w:tcPr>
            <w:tcW w:w="2148"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2023 (before audit)</w:t>
            </w:r>
          </w:p>
        </w:tc>
        <w:tc>
          <w:tcPr>
            <w:tcW w:w="1340"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Difference %</w:t>
            </w:r>
          </w:p>
        </w:tc>
      </w:tr>
      <w:tr w:rsidR="00BC0938">
        <w:tc>
          <w:tcPr>
            <w:tcW w:w="3704"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Profit after tax in the Separate Financial Statements</w:t>
            </w:r>
          </w:p>
        </w:tc>
        <w:tc>
          <w:tcPr>
            <w:tcW w:w="1825"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3,568</w:t>
            </w:r>
          </w:p>
        </w:tc>
        <w:tc>
          <w:tcPr>
            <w:tcW w:w="2148"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3,568</w:t>
            </w:r>
          </w:p>
        </w:tc>
        <w:tc>
          <w:tcPr>
            <w:tcW w:w="1340"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BC0938">
        <w:tc>
          <w:tcPr>
            <w:tcW w:w="3704"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2. </w:t>
            </w:r>
            <w:r>
              <w:rPr>
                <w:rFonts w:ascii="Arial" w:hAnsi="Arial"/>
                <w:color w:val="010000"/>
                <w:sz w:val="20"/>
              </w:rPr>
              <w:t>Profit after tax in the Consolidated Financial Statements</w:t>
            </w:r>
          </w:p>
        </w:tc>
        <w:tc>
          <w:tcPr>
            <w:tcW w:w="1825"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3,849</w:t>
            </w:r>
          </w:p>
        </w:tc>
        <w:tc>
          <w:tcPr>
            <w:tcW w:w="2148"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4,229</w:t>
            </w:r>
          </w:p>
        </w:tc>
        <w:tc>
          <w:tcPr>
            <w:tcW w:w="1340" w:type="dxa"/>
            <w:shd w:val="clear" w:color="auto" w:fill="auto"/>
            <w:tcMar>
              <w:top w:w="0" w:type="dxa"/>
              <w:bottom w:w="0" w:type="dxa"/>
            </w:tcMar>
            <w:vAlign w:val="center"/>
          </w:tcPr>
          <w:p w:rsidR="00BC0938" w:rsidRDefault="00373950"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(8.9%)</w:t>
            </w:r>
          </w:p>
        </w:tc>
      </w:tr>
    </w:tbl>
    <w:p w:rsidR="00BC0938" w:rsidRDefault="00373950" w:rsidP="004E4C6D">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of the Holding Company</w:t>
      </w:r>
      <w:r>
        <w:rPr>
          <w:rFonts w:ascii="Arial" w:hAnsi="Arial"/>
          <w:color w:val="010000"/>
          <w:sz w:val="20"/>
        </w:rPr>
        <w:t xml:space="preserve"> No change </w:t>
      </w:r>
      <w:r w:rsidR="004E4C6D">
        <w:rPr>
          <w:rFonts w:ascii="Arial" w:hAnsi="Arial"/>
          <w:color w:val="010000"/>
          <w:sz w:val="20"/>
        </w:rPr>
        <w:t>from</w:t>
      </w:r>
      <w:r>
        <w:rPr>
          <w:rFonts w:ascii="Arial" w:hAnsi="Arial"/>
          <w:color w:val="010000"/>
          <w:sz w:val="20"/>
        </w:rPr>
        <w:t xml:space="preserve"> before audit.</w:t>
      </w:r>
    </w:p>
    <w:p w:rsidR="00BC0938" w:rsidRDefault="00373950" w:rsidP="004E4C6D">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Consolidated profit after tax</w:t>
      </w:r>
      <w:r>
        <w:rPr>
          <w:rFonts w:ascii="Arial" w:hAnsi="Arial"/>
          <w:color w:val="010000"/>
          <w:sz w:val="20"/>
        </w:rPr>
        <w:t xml:space="preserve"> </w:t>
      </w:r>
      <w:r>
        <w:rPr>
          <w:rFonts w:ascii="Arial" w:hAnsi="Arial"/>
          <w:color w:val="010000"/>
          <w:sz w:val="20"/>
        </w:rPr>
        <w:t>Because the subsidiary’s report had a decrease in profit after the audit, when consolidated, the profit decreased by VND 380 million compared to the pre-audit st</w:t>
      </w:r>
      <w:bookmarkStart w:id="0" w:name="_GoBack"/>
      <w:bookmarkEnd w:id="0"/>
      <w:r>
        <w:rPr>
          <w:rFonts w:ascii="Arial" w:hAnsi="Arial"/>
          <w:color w:val="010000"/>
          <w:sz w:val="20"/>
        </w:rPr>
        <w:t>atements</w:t>
      </w:r>
      <w:r>
        <w:rPr>
          <w:rFonts w:ascii="Arial" w:hAnsi="Arial"/>
          <w:color w:val="010000"/>
          <w:sz w:val="20"/>
        </w:rPr>
        <w:t>.</w:t>
      </w:r>
    </w:p>
    <w:p w:rsidR="00BC0938" w:rsidRDefault="00BC0938" w:rsidP="004E4C6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
    <w:p w:rsidR="00BC0938" w:rsidRDefault="00BC0938" w:rsidP="004E4C6D">
      <w:pPr>
        <w:tabs>
          <w:tab w:val="left" w:pos="450"/>
        </w:tabs>
        <w:spacing w:after="120" w:line="360" w:lineRule="auto"/>
        <w:jc w:val="both"/>
        <w:rPr>
          <w:rFonts w:ascii="Arial" w:eastAsia="Arial" w:hAnsi="Arial" w:cs="Arial"/>
          <w:color w:val="010000"/>
          <w:sz w:val="20"/>
          <w:szCs w:val="20"/>
        </w:rPr>
      </w:pPr>
    </w:p>
    <w:sectPr w:rsidR="00BC093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91626"/>
    <w:multiLevelType w:val="multilevel"/>
    <w:tmpl w:val="D7A433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4A391E"/>
    <w:multiLevelType w:val="multilevel"/>
    <w:tmpl w:val="FC4ED4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38"/>
    <w:rsid w:val="00373950"/>
    <w:rsid w:val="004E4C6D"/>
    <w:rsid w:val="00BC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4049"/>
  <w15:docId w15:val="{639BC313-5E5E-4F9A-95D2-1ECF34C8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8"/>
      <w:szCs w:val="8"/>
    </w:rPr>
  </w:style>
  <w:style w:type="paragraph" w:customStyle="1" w:styleId="Tablecaption0">
    <w:name w:val="Table caption"/>
    <w:basedOn w:val="Normal"/>
    <w:link w:val="Tablecaption"/>
    <w:pPr>
      <w:spacing w:line="245"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pi6HEtMCiihljcYRcVNAw0ikA==">CgMxLjA4AHIhMXBtdGdTODN0YlNhMG0yaWtmZTZHRkgtNEdHaHlQa1lL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Nguyen Duc Quan</cp:lastModifiedBy>
  <cp:revision>3</cp:revision>
  <dcterms:created xsi:type="dcterms:W3CDTF">2024-04-05T04:07:00Z</dcterms:created>
  <dcterms:modified xsi:type="dcterms:W3CDTF">2024-04-05T04:07:00Z</dcterms:modified>
</cp:coreProperties>
</file>