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61332" w:rsidRDefault="00490E79" w:rsidP="00490E7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bCs/>
          <w:color w:val="010000"/>
          <w:sz w:val="20"/>
        </w:rPr>
        <w:t>X26:</w:t>
      </w:r>
      <w:r>
        <w:rPr>
          <w:rFonts w:ascii="Arial" w:hAnsi="Arial"/>
          <w:b/>
          <w:color w:val="010000"/>
          <w:sz w:val="20"/>
        </w:rPr>
        <w:t xml:space="preserve"> Board Resolution</w:t>
      </w:r>
    </w:p>
    <w:p w14:paraId="00000002" w14:textId="77777777" w:rsidR="00261332" w:rsidRDefault="00490E79" w:rsidP="00490E7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April 3, 2024, 26 Joint Stock Company announced Resolution No. 03/NQ-HDQT on paying the remaining 50% dividend of 2022 to shareholders as follows:</w:t>
      </w:r>
    </w:p>
    <w:p w14:paraId="00000003" w14:textId="77777777" w:rsidR="00261332" w:rsidRDefault="00490E79" w:rsidP="00490E7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1. </w:t>
      </w:r>
      <w:r>
        <w:rPr>
          <w:rFonts w:ascii="Arial" w:hAnsi="Arial"/>
          <w:color w:val="010000"/>
          <w:sz w:val="20"/>
        </w:rPr>
        <w:t>Implement the payment of the remaining 50% dividend of 2022 to the Company's shareholders, specifically as follows:</w:t>
      </w:r>
    </w:p>
    <w:p w14:paraId="00000004" w14:textId="77777777" w:rsidR="00261332" w:rsidRDefault="00490E79" w:rsidP="00490E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Record date: April 19, 2024</w:t>
      </w:r>
    </w:p>
    <w:p w14:paraId="00000005" w14:textId="77777777" w:rsidR="00261332" w:rsidRDefault="00490E79" w:rsidP="00490E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Exercise rate: 5%/share (Shareholders receive VND 500 for e</w:t>
      </w:r>
      <w:bookmarkStart w:id="0" w:name="_GoBack"/>
      <w:bookmarkEnd w:id="0"/>
      <w:r>
        <w:rPr>
          <w:rFonts w:ascii="Arial" w:hAnsi="Arial"/>
          <w:color w:val="010000"/>
          <w:sz w:val="20"/>
        </w:rPr>
        <w:t>very share they own)</w:t>
      </w:r>
    </w:p>
    <w:p w14:paraId="00000006" w14:textId="77777777" w:rsidR="00261332" w:rsidRDefault="00490E79" w:rsidP="00490E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Payment date: April 29, 2024</w:t>
      </w:r>
    </w:p>
    <w:p w14:paraId="00000007" w14:textId="77777777" w:rsidR="00261332" w:rsidRDefault="00490E79" w:rsidP="00490E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Imp</w:t>
      </w:r>
      <w:r>
        <w:rPr>
          <w:rFonts w:ascii="Arial" w:hAnsi="Arial"/>
          <w:color w:val="010000"/>
          <w:sz w:val="20"/>
        </w:rPr>
        <w:t>lementation venue:</w:t>
      </w:r>
    </w:p>
    <w:p w14:paraId="00000008" w14:textId="77777777" w:rsidR="00261332" w:rsidRDefault="00490E79" w:rsidP="00490E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For deposited securities: Vietnam Securities Depository and Clearing Corporation will transfer to the securities depository accounts of shareholders at the securities company where shareholders opened their accounts.</w:t>
      </w:r>
    </w:p>
    <w:p w14:paraId="00000009" w14:textId="77777777" w:rsidR="00261332" w:rsidRDefault="00490E79" w:rsidP="00490E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For </w:t>
      </w:r>
      <w:proofErr w:type="spellStart"/>
      <w:r>
        <w:rPr>
          <w:rFonts w:ascii="Arial" w:hAnsi="Arial"/>
          <w:color w:val="010000"/>
          <w:sz w:val="20"/>
        </w:rPr>
        <w:t>undeposited</w:t>
      </w:r>
      <w:proofErr w:type="spellEnd"/>
      <w:r>
        <w:rPr>
          <w:rFonts w:ascii="Arial" w:hAnsi="Arial"/>
          <w:color w:val="010000"/>
          <w:sz w:val="20"/>
        </w:rPr>
        <w:t xml:space="preserve"> securities: The owner carries out procedures to receive dividends at the Head Office of 26 Joint Stock Company. Address: Hoi </w:t>
      </w:r>
      <w:proofErr w:type="spellStart"/>
      <w:r>
        <w:rPr>
          <w:rFonts w:ascii="Arial" w:hAnsi="Arial"/>
          <w:color w:val="010000"/>
          <w:sz w:val="20"/>
        </w:rPr>
        <w:t>Xa</w:t>
      </w:r>
      <w:proofErr w:type="spellEnd"/>
      <w:r>
        <w:rPr>
          <w:rFonts w:ascii="Arial" w:hAnsi="Arial"/>
          <w:color w:val="010000"/>
          <w:sz w:val="20"/>
        </w:rPr>
        <w:t xml:space="preserve"> Road, Group 5, </w:t>
      </w:r>
      <w:proofErr w:type="spellStart"/>
      <w:r>
        <w:rPr>
          <w:rFonts w:ascii="Arial" w:hAnsi="Arial"/>
          <w:color w:val="010000"/>
          <w:sz w:val="20"/>
        </w:rPr>
        <w:t>Phuc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Loi</w:t>
      </w:r>
      <w:proofErr w:type="spellEnd"/>
      <w:r>
        <w:rPr>
          <w:rFonts w:ascii="Arial" w:hAnsi="Arial"/>
          <w:color w:val="010000"/>
          <w:sz w:val="20"/>
        </w:rPr>
        <w:t xml:space="preserve"> Ward, Long Bien District, Hanoi City (on working days of the week) starting from April 2</w:t>
      </w:r>
      <w:r>
        <w:rPr>
          <w:rFonts w:ascii="Arial" w:hAnsi="Arial"/>
          <w:color w:val="010000"/>
          <w:sz w:val="20"/>
        </w:rPr>
        <w:t xml:space="preserve">9, 2024, must present ID card (or Citizen Identification card). </w:t>
      </w:r>
    </w:p>
    <w:p w14:paraId="0000000A" w14:textId="77777777" w:rsidR="00261332" w:rsidRDefault="00490E79" w:rsidP="00490E7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2. </w:t>
      </w:r>
      <w:r>
        <w:rPr>
          <w:rFonts w:ascii="Arial" w:hAnsi="Arial"/>
          <w:color w:val="010000"/>
          <w:sz w:val="20"/>
        </w:rPr>
        <w:t>The departments are responsible for coordinating and supporting the Production and Business Planning Department and the Finance and Accounting Department in implementing this Res</w:t>
      </w:r>
      <w:r>
        <w:rPr>
          <w:rFonts w:ascii="Arial" w:hAnsi="Arial"/>
          <w:color w:val="010000"/>
          <w:sz w:val="20"/>
        </w:rPr>
        <w:t>olution.</w:t>
      </w:r>
    </w:p>
    <w:sectPr w:rsidR="00261332">
      <w:pgSz w:w="11909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B24A4"/>
    <w:multiLevelType w:val="multilevel"/>
    <w:tmpl w:val="BF222AB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A4550CB"/>
    <w:multiLevelType w:val="multilevel"/>
    <w:tmpl w:val="68087C4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32"/>
    <w:rsid w:val="00261332"/>
    <w:rsid w:val="0049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3A5604-948D-4BB0-A0AB-9D3CF93E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Arial" w:eastAsia="Arial" w:hAnsi="Arial" w:cs="Arial"/>
      <w:sz w:val="48"/>
      <w:szCs w:val="48"/>
    </w:rPr>
  </w:style>
  <w:style w:type="paragraph" w:customStyle="1" w:styleId="Vnbnnidung20">
    <w:name w:val="Văn bản nội dung (2)"/>
    <w:basedOn w:val="Normal"/>
    <w:link w:val="Vnbnnidung2"/>
    <w:pPr>
      <w:spacing w:line="252" w:lineRule="auto"/>
    </w:pPr>
    <w:rPr>
      <w:rFonts w:ascii="Arial" w:eastAsia="Arial" w:hAnsi="Arial" w:cs="Arial"/>
      <w:sz w:val="9"/>
      <w:szCs w:val="9"/>
    </w:rPr>
  </w:style>
  <w:style w:type="paragraph" w:customStyle="1" w:styleId="Vnbnnidung0">
    <w:name w:val="Văn bản nội dung"/>
    <w:basedOn w:val="Normal"/>
    <w:link w:val="Vnbnnidung"/>
    <w:pPr>
      <w:spacing w:line="312" w:lineRule="auto"/>
      <w:ind w:firstLine="38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7te2Jgzsz63n8yfYw0F8fVlE2Q==">CgMxLjA4AHIhMUsxc1ZXXzhlckVVQjduMUQ1bWpLRmlpVG5UQXBOdVVW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>HP Inc.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cp:lastModifiedBy>Nguyen Thi Quynh Trang</cp:lastModifiedBy>
  <cp:revision>2</cp:revision>
  <dcterms:created xsi:type="dcterms:W3CDTF">2024-04-04T04:00:00Z</dcterms:created>
  <dcterms:modified xsi:type="dcterms:W3CDTF">2024-04-05T07:45:00Z</dcterms:modified>
</cp:coreProperties>
</file>