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7461"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b/>
          <w:color w:val="010000"/>
          <w:sz w:val="20"/>
          <w:szCs w:val="20"/>
        </w:rPr>
      </w:pPr>
      <w:r w:rsidRPr="00743661">
        <w:rPr>
          <w:rFonts w:ascii="Arial" w:hAnsi="Arial" w:cs="Arial"/>
          <w:b/>
          <w:color w:val="010000"/>
          <w:sz w:val="20"/>
        </w:rPr>
        <w:t>XMP: Annual General Mandate 2024</w:t>
      </w:r>
    </w:p>
    <w:p w14:paraId="3C35910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On March 26, 2024, Xuan Minh Hydro Power Joint Stock Company announced the Annual General Mandate 2024 No. 01/2024/NQ/XM-DHDCD as follows:</w:t>
      </w:r>
    </w:p>
    <w:p w14:paraId="6E0A2AB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Article 1: Approve the Report No. 01/2024/BC-HDQT dated February 28, 2024 of the Board of Directors on the activities of the Board of Directors in 2023 and tasks and operational plan for 2024.</w:t>
      </w:r>
    </w:p>
    <w:p w14:paraId="1716630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Article 2: Approve the Report No. 02/2024/BC-HDQT dated February 28, 2024 of the Board of Directors on the production and business activities in 2023 and plan for 2024.</w:t>
      </w:r>
    </w:p>
    <w:p w14:paraId="50E22A1C" w14:textId="77777777" w:rsidR="00ED600B" w:rsidRPr="00743661" w:rsidRDefault="00ED7A15" w:rsidP="00ED7A15">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2"/>
        <w:gridCol w:w="2020"/>
        <w:gridCol w:w="729"/>
        <w:gridCol w:w="1217"/>
        <w:gridCol w:w="1203"/>
        <w:gridCol w:w="1208"/>
        <w:gridCol w:w="1041"/>
        <w:gridCol w:w="1017"/>
      </w:tblGrid>
      <w:tr w:rsidR="00ED600B" w:rsidRPr="00743661" w14:paraId="278AE009" w14:textId="77777777" w:rsidTr="00ED7A15">
        <w:tc>
          <w:tcPr>
            <w:tcW w:w="323" w:type="pct"/>
            <w:shd w:val="clear" w:color="auto" w:fill="auto"/>
            <w:vAlign w:val="center"/>
          </w:tcPr>
          <w:p w14:paraId="0F7645D9"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No.</w:t>
            </w:r>
          </w:p>
        </w:tc>
        <w:tc>
          <w:tcPr>
            <w:tcW w:w="1120" w:type="pct"/>
            <w:shd w:val="clear" w:color="auto" w:fill="auto"/>
            <w:vAlign w:val="center"/>
          </w:tcPr>
          <w:p w14:paraId="476248D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Target</w:t>
            </w:r>
          </w:p>
        </w:tc>
        <w:tc>
          <w:tcPr>
            <w:tcW w:w="404" w:type="pct"/>
            <w:shd w:val="clear" w:color="auto" w:fill="auto"/>
            <w:vAlign w:val="center"/>
          </w:tcPr>
          <w:p w14:paraId="2091EE26"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Unit</w:t>
            </w:r>
          </w:p>
        </w:tc>
        <w:tc>
          <w:tcPr>
            <w:tcW w:w="675" w:type="pct"/>
            <w:shd w:val="clear" w:color="auto" w:fill="auto"/>
            <w:vAlign w:val="center"/>
          </w:tcPr>
          <w:p w14:paraId="1969F38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Results in 2022 </w:t>
            </w:r>
          </w:p>
        </w:tc>
        <w:tc>
          <w:tcPr>
            <w:tcW w:w="667" w:type="pct"/>
            <w:shd w:val="clear" w:color="auto" w:fill="auto"/>
            <w:vAlign w:val="center"/>
          </w:tcPr>
          <w:p w14:paraId="10B180E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Plan in 2023 </w:t>
            </w:r>
          </w:p>
        </w:tc>
        <w:tc>
          <w:tcPr>
            <w:tcW w:w="670" w:type="pct"/>
            <w:shd w:val="clear" w:color="auto" w:fill="auto"/>
            <w:vAlign w:val="center"/>
          </w:tcPr>
          <w:p w14:paraId="04ABE4F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Results in 2023</w:t>
            </w:r>
          </w:p>
        </w:tc>
        <w:tc>
          <w:tcPr>
            <w:tcW w:w="1141" w:type="pct"/>
            <w:gridSpan w:val="2"/>
            <w:shd w:val="clear" w:color="auto" w:fill="auto"/>
            <w:vAlign w:val="center"/>
          </w:tcPr>
          <w:p w14:paraId="517C45B4"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Assessment </w:t>
            </w:r>
          </w:p>
        </w:tc>
      </w:tr>
      <w:tr w:rsidR="00ED600B" w:rsidRPr="00743661" w14:paraId="3A2712DD" w14:textId="77777777" w:rsidTr="00ED7A15">
        <w:tc>
          <w:tcPr>
            <w:tcW w:w="323" w:type="pct"/>
            <w:shd w:val="clear" w:color="auto" w:fill="auto"/>
            <w:vAlign w:val="center"/>
          </w:tcPr>
          <w:p w14:paraId="15C1845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w:t>
            </w:r>
          </w:p>
        </w:tc>
        <w:tc>
          <w:tcPr>
            <w:tcW w:w="1120" w:type="pct"/>
            <w:shd w:val="clear" w:color="auto" w:fill="auto"/>
            <w:vAlign w:val="center"/>
          </w:tcPr>
          <w:p w14:paraId="3BFF245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w:t>
            </w:r>
          </w:p>
        </w:tc>
        <w:tc>
          <w:tcPr>
            <w:tcW w:w="404" w:type="pct"/>
            <w:shd w:val="clear" w:color="auto" w:fill="auto"/>
            <w:vAlign w:val="center"/>
          </w:tcPr>
          <w:p w14:paraId="46213D66"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w:t>
            </w:r>
          </w:p>
        </w:tc>
        <w:tc>
          <w:tcPr>
            <w:tcW w:w="675" w:type="pct"/>
            <w:shd w:val="clear" w:color="auto" w:fill="auto"/>
            <w:vAlign w:val="center"/>
          </w:tcPr>
          <w:p w14:paraId="043D4335"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(4)</w:t>
            </w:r>
          </w:p>
        </w:tc>
        <w:tc>
          <w:tcPr>
            <w:tcW w:w="667" w:type="pct"/>
            <w:shd w:val="clear" w:color="auto" w:fill="auto"/>
            <w:vAlign w:val="center"/>
          </w:tcPr>
          <w:p w14:paraId="3D47F0D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w:t>
            </w:r>
          </w:p>
        </w:tc>
        <w:tc>
          <w:tcPr>
            <w:tcW w:w="670" w:type="pct"/>
            <w:shd w:val="clear" w:color="auto" w:fill="auto"/>
            <w:vAlign w:val="center"/>
          </w:tcPr>
          <w:p w14:paraId="0BF0395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(6)</w:t>
            </w:r>
          </w:p>
        </w:tc>
        <w:tc>
          <w:tcPr>
            <w:tcW w:w="577" w:type="pct"/>
            <w:shd w:val="clear" w:color="auto" w:fill="auto"/>
            <w:vAlign w:val="center"/>
          </w:tcPr>
          <w:p w14:paraId="19D5478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w:t>
            </w:r>
            <w:proofErr w:type="gramStart"/>
            <w:r w:rsidRPr="00743661">
              <w:rPr>
                <w:rFonts w:ascii="Arial" w:hAnsi="Arial" w:cs="Arial"/>
                <w:color w:val="010000"/>
                <w:sz w:val="20"/>
              </w:rPr>
              <w:t>7)=</w:t>
            </w:r>
            <w:proofErr w:type="gramEnd"/>
            <w:r w:rsidRPr="00743661">
              <w:rPr>
                <w:rFonts w:ascii="Arial" w:hAnsi="Arial" w:cs="Arial"/>
                <w:color w:val="010000"/>
                <w:sz w:val="20"/>
              </w:rPr>
              <w:t>(6/5)%</w:t>
            </w:r>
          </w:p>
        </w:tc>
        <w:tc>
          <w:tcPr>
            <w:tcW w:w="564" w:type="pct"/>
            <w:shd w:val="clear" w:color="auto" w:fill="auto"/>
            <w:vAlign w:val="center"/>
          </w:tcPr>
          <w:p w14:paraId="2626D0D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w:t>
            </w:r>
            <w:proofErr w:type="gramStart"/>
            <w:r w:rsidRPr="00743661">
              <w:rPr>
                <w:rFonts w:ascii="Arial" w:hAnsi="Arial" w:cs="Arial"/>
                <w:color w:val="010000"/>
                <w:sz w:val="20"/>
              </w:rPr>
              <w:t>8)=</w:t>
            </w:r>
            <w:proofErr w:type="gramEnd"/>
            <w:r w:rsidRPr="00743661">
              <w:rPr>
                <w:rFonts w:ascii="Arial" w:hAnsi="Arial" w:cs="Arial"/>
                <w:color w:val="010000"/>
                <w:sz w:val="20"/>
              </w:rPr>
              <w:t>(6/4)%</w:t>
            </w:r>
          </w:p>
        </w:tc>
      </w:tr>
      <w:tr w:rsidR="00ED600B" w:rsidRPr="00743661" w14:paraId="66EDC848" w14:textId="77777777" w:rsidTr="00ED7A15">
        <w:tc>
          <w:tcPr>
            <w:tcW w:w="323" w:type="pct"/>
            <w:shd w:val="clear" w:color="auto" w:fill="auto"/>
            <w:vAlign w:val="center"/>
          </w:tcPr>
          <w:p w14:paraId="080B6FB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I</w:t>
            </w:r>
          </w:p>
        </w:tc>
        <w:tc>
          <w:tcPr>
            <w:tcW w:w="1120" w:type="pct"/>
            <w:shd w:val="clear" w:color="auto" w:fill="auto"/>
            <w:vAlign w:val="center"/>
          </w:tcPr>
          <w:p w14:paraId="39C8B71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Output</w:t>
            </w:r>
          </w:p>
        </w:tc>
        <w:tc>
          <w:tcPr>
            <w:tcW w:w="404" w:type="pct"/>
            <w:shd w:val="clear" w:color="auto" w:fill="auto"/>
            <w:vAlign w:val="center"/>
          </w:tcPr>
          <w:p w14:paraId="642596E5"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43661">
              <w:rPr>
                <w:rFonts w:ascii="Arial" w:hAnsi="Arial" w:cs="Arial"/>
                <w:color w:val="010000"/>
                <w:sz w:val="20"/>
              </w:rPr>
              <w:t>KWh</w:t>
            </w:r>
            <w:proofErr w:type="spellEnd"/>
          </w:p>
        </w:tc>
        <w:tc>
          <w:tcPr>
            <w:tcW w:w="675" w:type="pct"/>
            <w:shd w:val="clear" w:color="auto" w:fill="auto"/>
            <w:vAlign w:val="center"/>
          </w:tcPr>
          <w:p w14:paraId="111AB459"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72,698,210</w:t>
            </w:r>
          </w:p>
        </w:tc>
        <w:tc>
          <w:tcPr>
            <w:tcW w:w="667" w:type="pct"/>
            <w:shd w:val="clear" w:color="auto" w:fill="auto"/>
            <w:vAlign w:val="center"/>
          </w:tcPr>
          <w:p w14:paraId="4885760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69,951,268</w:t>
            </w:r>
          </w:p>
        </w:tc>
        <w:tc>
          <w:tcPr>
            <w:tcW w:w="670" w:type="pct"/>
            <w:shd w:val="clear" w:color="auto" w:fill="auto"/>
            <w:vAlign w:val="center"/>
          </w:tcPr>
          <w:p w14:paraId="430EA1A5"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53,763,315</w:t>
            </w:r>
          </w:p>
        </w:tc>
        <w:tc>
          <w:tcPr>
            <w:tcW w:w="577" w:type="pct"/>
            <w:shd w:val="clear" w:color="auto" w:fill="auto"/>
            <w:vAlign w:val="center"/>
          </w:tcPr>
          <w:p w14:paraId="235C176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77%</w:t>
            </w:r>
          </w:p>
        </w:tc>
        <w:tc>
          <w:tcPr>
            <w:tcW w:w="564" w:type="pct"/>
            <w:shd w:val="clear" w:color="auto" w:fill="auto"/>
            <w:vAlign w:val="center"/>
          </w:tcPr>
          <w:p w14:paraId="1EF98EF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74%</w:t>
            </w:r>
          </w:p>
        </w:tc>
      </w:tr>
      <w:tr w:rsidR="00ED600B" w:rsidRPr="00743661" w14:paraId="77358C2C" w14:textId="77777777" w:rsidTr="00ED7A15">
        <w:tc>
          <w:tcPr>
            <w:tcW w:w="323" w:type="pct"/>
            <w:shd w:val="clear" w:color="auto" w:fill="auto"/>
            <w:vAlign w:val="center"/>
          </w:tcPr>
          <w:p w14:paraId="4B296159"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II</w:t>
            </w:r>
          </w:p>
        </w:tc>
        <w:tc>
          <w:tcPr>
            <w:tcW w:w="1120" w:type="pct"/>
            <w:shd w:val="clear" w:color="auto" w:fill="auto"/>
            <w:vAlign w:val="center"/>
          </w:tcPr>
          <w:p w14:paraId="0D888274"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Revenue</w:t>
            </w:r>
          </w:p>
        </w:tc>
        <w:tc>
          <w:tcPr>
            <w:tcW w:w="404" w:type="pct"/>
            <w:shd w:val="clear" w:color="auto" w:fill="auto"/>
            <w:vAlign w:val="center"/>
          </w:tcPr>
          <w:p w14:paraId="49015DE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675" w:type="pct"/>
            <w:shd w:val="clear" w:color="auto" w:fill="auto"/>
            <w:vAlign w:val="center"/>
          </w:tcPr>
          <w:p w14:paraId="547D395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80,416</w:t>
            </w:r>
          </w:p>
        </w:tc>
        <w:tc>
          <w:tcPr>
            <w:tcW w:w="667" w:type="pct"/>
            <w:shd w:val="clear" w:color="auto" w:fill="auto"/>
            <w:vAlign w:val="center"/>
          </w:tcPr>
          <w:p w14:paraId="630EB70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78,773</w:t>
            </w:r>
          </w:p>
        </w:tc>
        <w:tc>
          <w:tcPr>
            <w:tcW w:w="670" w:type="pct"/>
            <w:shd w:val="clear" w:color="auto" w:fill="auto"/>
            <w:vAlign w:val="center"/>
          </w:tcPr>
          <w:p w14:paraId="4691106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65,821</w:t>
            </w:r>
          </w:p>
        </w:tc>
        <w:tc>
          <w:tcPr>
            <w:tcW w:w="577" w:type="pct"/>
            <w:shd w:val="clear" w:color="auto" w:fill="auto"/>
            <w:vAlign w:val="center"/>
          </w:tcPr>
          <w:p w14:paraId="462F902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84%</w:t>
            </w:r>
          </w:p>
        </w:tc>
        <w:tc>
          <w:tcPr>
            <w:tcW w:w="564" w:type="pct"/>
            <w:shd w:val="clear" w:color="auto" w:fill="auto"/>
            <w:vAlign w:val="center"/>
          </w:tcPr>
          <w:p w14:paraId="29BA9D69"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82%</w:t>
            </w:r>
          </w:p>
        </w:tc>
      </w:tr>
      <w:tr w:rsidR="00ED600B" w:rsidRPr="00743661" w14:paraId="217FAD48" w14:textId="77777777" w:rsidTr="00ED7A15">
        <w:tc>
          <w:tcPr>
            <w:tcW w:w="323" w:type="pct"/>
            <w:shd w:val="clear" w:color="auto" w:fill="auto"/>
            <w:vAlign w:val="center"/>
          </w:tcPr>
          <w:p w14:paraId="5C4F7BA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III</w:t>
            </w:r>
          </w:p>
        </w:tc>
        <w:tc>
          <w:tcPr>
            <w:tcW w:w="1120" w:type="pct"/>
            <w:shd w:val="clear" w:color="auto" w:fill="auto"/>
            <w:vAlign w:val="center"/>
          </w:tcPr>
          <w:p w14:paraId="70489A4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Expenses</w:t>
            </w:r>
          </w:p>
        </w:tc>
        <w:tc>
          <w:tcPr>
            <w:tcW w:w="404" w:type="pct"/>
            <w:shd w:val="clear" w:color="auto" w:fill="auto"/>
            <w:vAlign w:val="center"/>
          </w:tcPr>
          <w:p w14:paraId="2C52738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675" w:type="pct"/>
            <w:shd w:val="clear" w:color="auto" w:fill="auto"/>
            <w:vAlign w:val="center"/>
          </w:tcPr>
          <w:p w14:paraId="7225BED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58,445</w:t>
            </w:r>
          </w:p>
        </w:tc>
        <w:tc>
          <w:tcPr>
            <w:tcW w:w="667" w:type="pct"/>
            <w:shd w:val="clear" w:color="auto" w:fill="auto"/>
            <w:vAlign w:val="center"/>
          </w:tcPr>
          <w:p w14:paraId="2D17AAB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65,100</w:t>
            </w:r>
          </w:p>
        </w:tc>
        <w:tc>
          <w:tcPr>
            <w:tcW w:w="670" w:type="pct"/>
            <w:shd w:val="clear" w:color="auto" w:fill="auto"/>
            <w:vAlign w:val="center"/>
          </w:tcPr>
          <w:p w14:paraId="7FFD936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60,058</w:t>
            </w:r>
          </w:p>
        </w:tc>
        <w:tc>
          <w:tcPr>
            <w:tcW w:w="577" w:type="pct"/>
            <w:shd w:val="clear" w:color="auto" w:fill="auto"/>
            <w:vAlign w:val="center"/>
          </w:tcPr>
          <w:p w14:paraId="3E0C136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92%</w:t>
            </w:r>
          </w:p>
        </w:tc>
        <w:tc>
          <w:tcPr>
            <w:tcW w:w="564" w:type="pct"/>
            <w:shd w:val="clear" w:color="auto" w:fill="auto"/>
            <w:vAlign w:val="center"/>
          </w:tcPr>
          <w:p w14:paraId="7052547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103%</w:t>
            </w:r>
          </w:p>
        </w:tc>
      </w:tr>
      <w:tr w:rsidR="00ED600B" w:rsidRPr="00743661" w14:paraId="755977F6" w14:textId="77777777" w:rsidTr="00ED7A15">
        <w:tc>
          <w:tcPr>
            <w:tcW w:w="323" w:type="pct"/>
            <w:shd w:val="clear" w:color="auto" w:fill="auto"/>
            <w:vAlign w:val="center"/>
          </w:tcPr>
          <w:p w14:paraId="3A27586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w:t>
            </w:r>
          </w:p>
        </w:tc>
        <w:tc>
          <w:tcPr>
            <w:tcW w:w="1120" w:type="pct"/>
            <w:shd w:val="clear" w:color="auto" w:fill="auto"/>
            <w:vAlign w:val="center"/>
          </w:tcPr>
          <w:p w14:paraId="1278536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Production expenses</w:t>
            </w:r>
          </w:p>
        </w:tc>
        <w:tc>
          <w:tcPr>
            <w:tcW w:w="404" w:type="pct"/>
            <w:shd w:val="clear" w:color="auto" w:fill="auto"/>
            <w:vAlign w:val="center"/>
          </w:tcPr>
          <w:p w14:paraId="2D25197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675" w:type="pct"/>
            <w:shd w:val="clear" w:color="auto" w:fill="auto"/>
            <w:vAlign w:val="center"/>
          </w:tcPr>
          <w:p w14:paraId="034E01A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30,081</w:t>
            </w:r>
          </w:p>
        </w:tc>
        <w:tc>
          <w:tcPr>
            <w:tcW w:w="667" w:type="pct"/>
            <w:shd w:val="clear" w:color="auto" w:fill="auto"/>
            <w:vAlign w:val="center"/>
          </w:tcPr>
          <w:p w14:paraId="62A167C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30,828</w:t>
            </w:r>
          </w:p>
        </w:tc>
        <w:tc>
          <w:tcPr>
            <w:tcW w:w="670" w:type="pct"/>
            <w:shd w:val="clear" w:color="auto" w:fill="auto"/>
            <w:vAlign w:val="center"/>
          </w:tcPr>
          <w:p w14:paraId="651866B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29,441</w:t>
            </w:r>
          </w:p>
        </w:tc>
        <w:tc>
          <w:tcPr>
            <w:tcW w:w="577" w:type="pct"/>
            <w:shd w:val="clear" w:color="auto" w:fill="auto"/>
            <w:vAlign w:val="center"/>
          </w:tcPr>
          <w:p w14:paraId="742A38C6"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96%</w:t>
            </w:r>
          </w:p>
        </w:tc>
        <w:tc>
          <w:tcPr>
            <w:tcW w:w="564" w:type="pct"/>
            <w:shd w:val="clear" w:color="auto" w:fill="auto"/>
            <w:vAlign w:val="center"/>
          </w:tcPr>
          <w:p w14:paraId="12D0F526"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98%</w:t>
            </w:r>
          </w:p>
        </w:tc>
      </w:tr>
      <w:tr w:rsidR="00ED600B" w:rsidRPr="00743661" w14:paraId="5757DFE0" w14:textId="77777777" w:rsidTr="00ED7A15">
        <w:tc>
          <w:tcPr>
            <w:tcW w:w="323" w:type="pct"/>
            <w:shd w:val="clear" w:color="auto" w:fill="auto"/>
            <w:vAlign w:val="center"/>
          </w:tcPr>
          <w:p w14:paraId="045C0B5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w:t>
            </w:r>
          </w:p>
        </w:tc>
        <w:tc>
          <w:tcPr>
            <w:tcW w:w="1120" w:type="pct"/>
            <w:shd w:val="clear" w:color="auto" w:fill="auto"/>
            <w:vAlign w:val="center"/>
          </w:tcPr>
          <w:p w14:paraId="5A2AA1C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Administrative expenses and other expenses</w:t>
            </w:r>
          </w:p>
        </w:tc>
        <w:tc>
          <w:tcPr>
            <w:tcW w:w="404" w:type="pct"/>
            <w:shd w:val="clear" w:color="auto" w:fill="auto"/>
            <w:vAlign w:val="center"/>
          </w:tcPr>
          <w:p w14:paraId="308C2A9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675" w:type="pct"/>
            <w:shd w:val="clear" w:color="auto" w:fill="auto"/>
            <w:vAlign w:val="center"/>
          </w:tcPr>
          <w:p w14:paraId="0C4B2659"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4,718</w:t>
            </w:r>
          </w:p>
        </w:tc>
        <w:tc>
          <w:tcPr>
            <w:tcW w:w="667" w:type="pct"/>
            <w:shd w:val="clear" w:color="auto" w:fill="auto"/>
            <w:vAlign w:val="center"/>
          </w:tcPr>
          <w:p w14:paraId="3A0AD3F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5,807</w:t>
            </w:r>
          </w:p>
        </w:tc>
        <w:tc>
          <w:tcPr>
            <w:tcW w:w="670" w:type="pct"/>
            <w:shd w:val="clear" w:color="auto" w:fill="auto"/>
            <w:vAlign w:val="center"/>
          </w:tcPr>
          <w:p w14:paraId="4C73587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5,337</w:t>
            </w:r>
          </w:p>
        </w:tc>
        <w:tc>
          <w:tcPr>
            <w:tcW w:w="577" w:type="pct"/>
            <w:shd w:val="clear" w:color="auto" w:fill="auto"/>
            <w:vAlign w:val="center"/>
          </w:tcPr>
          <w:p w14:paraId="0015B8F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92%</w:t>
            </w:r>
          </w:p>
        </w:tc>
        <w:tc>
          <w:tcPr>
            <w:tcW w:w="564" w:type="pct"/>
            <w:shd w:val="clear" w:color="auto" w:fill="auto"/>
            <w:vAlign w:val="center"/>
          </w:tcPr>
          <w:p w14:paraId="5C66304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113%</w:t>
            </w:r>
          </w:p>
        </w:tc>
      </w:tr>
      <w:tr w:rsidR="00ED600B" w:rsidRPr="00743661" w14:paraId="2C3CE7B9" w14:textId="77777777" w:rsidTr="00ED7A15">
        <w:tc>
          <w:tcPr>
            <w:tcW w:w="323" w:type="pct"/>
            <w:shd w:val="clear" w:color="auto" w:fill="auto"/>
            <w:vAlign w:val="center"/>
          </w:tcPr>
          <w:p w14:paraId="61347D0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w:t>
            </w:r>
          </w:p>
        </w:tc>
        <w:tc>
          <w:tcPr>
            <w:tcW w:w="1120" w:type="pct"/>
            <w:shd w:val="clear" w:color="auto" w:fill="auto"/>
            <w:vAlign w:val="center"/>
          </w:tcPr>
          <w:p w14:paraId="35AE2C0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Financial expenses:</w:t>
            </w:r>
          </w:p>
        </w:tc>
        <w:tc>
          <w:tcPr>
            <w:tcW w:w="404" w:type="pct"/>
            <w:shd w:val="clear" w:color="auto" w:fill="auto"/>
            <w:vAlign w:val="center"/>
          </w:tcPr>
          <w:p w14:paraId="75DC976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675" w:type="pct"/>
            <w:shd w:val="clear" w:color="auto" w:fill="auto"/>
            <w:vAlign w:val="center"/>
          </w:tcPr>
          <w:p w14:paraId="2AA962D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23,646</w:t>
            </w:r>
          </w:p>
        </w:tc>
        <w:tc>
          <w:tcPr>
            <w:tcW w:w="667" w:type="pct"/>
            <w:shd w:val="clear" w:color="auto" w:fill="auto"/>
            <w:vAlign w:val="center"/>
          </w:tcPr>
          <w:p w14:paraId="3F40FDD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28,465</w:t>
            </w:r>
          </w:p>
        </w:tc>
        <w:tc>
          <w:tcPr>
            <w:tcW w:w="670" w:type="pct"/>
            <w:shd w:val="clear" w:color="auto" w:fill="auto"/>
            <w:vAlign w:val="center"/>
          </w:tcPr>
          <w:p w14:paraId="3B55E124"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25,280</w:t>
            </w:r>
          </w:p>
        </w:tc>
        <w:tc>
          <w:tcPr>
            <w:tcW w:w="577" w:type="pct"/>
            <w:shd w:val="clear" w:color="auto" w:fill="auto"/>
            <w:vAlign w:val="center"/>
          </w:tcPr>
          <w:p w14:paraId="68AAEDF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89%</w:t>
            </w:r>
          </w:p>
        </w:tc>
        <w:tc>
          <w:tcPr>
            <w:tcW w:w="564" w:type="pct"/>
            <w:shd w:val="clear" w:color="auto" w:fill="auto"/>
            <w:vAlign w:val="center"/>
          </w:tcPr>
          <w:p w14:paraId="0078901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107%</w:t>
            </w:r>
          </w:p>
        </w:tc>
      </w:tr>
      <w:tr w:rsidR="00ED600B" w:rsidRPr="00743661" w14:paraId="72FFF813" w14:textId="77777777" w:rsidTr="00ED7A15">
        <w:tc>
          <w:tcPr>
            <w:tcW w:w="323" w:type="pct"/>
            <w:shd w:val="clear" w:color="auto" w:fill="auto"/>
            <w:vAlign w:val="center"/>
          </w:tcPr>
          <w:p w14:paraId="3792797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IV</w:t>
            </w:r>
          </w:p>
        </w:tc>
        <w:tc>
          <w:tcPr>
            <w:tcW w:w="1120" w:type="pct"/>
            <w:shd w:val="clear" w:color="auto" w:fill="auto"/>
            <w:vAlign w:val="center"/>
          </w:tcPr>
          <w:p w14:paraId="094B176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Profit before tax</w:t>
            </w:r>
          </w:p>
        </w:tc>
        <w:tc>
          <w:tcPr>
            <w:tcW w:w="404" w:type="pct"/>
            <w:shd w:val="clear" w:color="auto" w:fill="auto"/>
            <w:vAlign w:val="center"/>
          </w:tcPr>
          <w:p w14:paraId="20CE612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675" w:type="pct"/>
            <w:shd w:val="clear" w:color="auto" w:fill="auto"/>
            <w:vAlign w:val="center"/>
          </w:tcPr>
          <w:p w14:paraId="2871E39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21,971</w:t>
            </w:r>
          </w:p>
        </w:tc>
        <w:tc>
          <w:tcPr>
            <w:tcW w:w="667" w:type="pct"/>
            <w:shd w:val="clear" w:color="auto" w:fill="auto"/>
            <w:vAlign w:val="center"/>
          </w:tcPr>
          <w:p w14:paraId="3436050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13,673</w:t>
            </w:r>
          </w:p>
        </w:tc>
        <w:tc>
          <w:tcPr>
            <w:tcW w:w="670" w:type="pct"/>
            <w:shd w:val="clear" w:color="auto" w:fill="auto"/>
            <w:vAlign w:val="center"/>
          </w:tcPr>
          <w:p w14:paraId="176CD011"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5,763</w:t>
            </w:r>
          </w:p>
        </w:tc>
        <w:tc>
          <w:tcPr>
            <w:tcW w:w="577" w:type="pct"/>
            <w:shd w:val="clear" w:color="auto" w:fill="auto"/>
            <w:vAlign w:val="center"/>
          </w:tcPr>
          <w:p w14:paraId="4476D7D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42%</w:t>
            </w:r>
          </w:p>
        </w:tc>
        <w:tc>
          <w:tcPr>
            <w:tcW w:w="564" w:type="pct"/>
            <w:shd w:val="clear" w:color="auto" w:fill="auto"/>
            <w:vAlign w:val="center"/>
          </w:tcPr>
          <w:p w14:paraId="1E425D3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26%</w:t>
            </w:r>
          </w:p>
        </w:tc>
      </w:tr>
      <w:tr w:rsidR="00ED600B" w:rsidRPr="00743661" w14:paraId="0A9A57FF" w14:textId="77777777" w:rsidTr="00ED7A15">
        <w:tc>
          <w:tcPr>
            <w:tcW w:w="323" w:type="pct"/>
            <w:shd w:val="clear" w:color="auto" w:fill="auto"/>
            <w:vAlign w:val="center"/>
          </w:tcPr>
          <w:p w14:paraId="60DCE7F6"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V</w:t>
            </w:r>
          </w:p>
        </w:tc>
        <w:tc>
          <w:tcPr>
            <w:tcW w:w="1120" w:type="pct"/>
            <w:shd w:val="clear" w:color="auto" w:fill="auto"/>
            <w:vAlign w:val="center"/>
          </w:tcPr>
          <w:p w14:paraId="15BBBA56"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Profit after tax</w:t>
            </w:r>
          </w:p>
        </w:tc>
        <w:tc>
          <w:tcPr>
            <w:tcW w:w="404" w:type="pct"/>
            <w:shd w:val="clear" w:color="auto" w:fill="auto"/>
            <w:vAlign w:val="center"/>
          </w:tcPr>
          <w:p w14:paraId="5DE8334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675" w:type="pct"/>
            <w:shd w:val="clear" w:color="auto" w:fill="auto"/>
            <w:vAlign w:val="center"/>
          </w:tcPr>
          <w:p w14:paraId="30043A4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20,622</w:t>
            </w:r>
          </w:p>
        </w:tc>
        <w:tc>
          <w:tcPr>
            <w:tcW w:w="667" w:type="pct"/>
            <w:shd w:val="clear" w:color="auto" w:fill="auto"/>
            <w:vAlign w:val="center"/>
          </w:tcPr>
          <w:p w14:paraId="2D3CAFE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12,889</w:t>
            </w:r>
          </w:p>
        </w:tc>
        <w:tc>
          <w:tcPr>
            <w:tcW w:w="670" w:type="pct"/>
            <w:shd w:val="clear" w:color="auto" w:fill="auto"/>
            <w:vAlign w:val="center"/>
          </w:tcPr>
          <w:p w14:paraId="0C35F3C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4,938</w:t>
            </w:r>
          </w:p>
        </w:tc>
        <w:tc>
          <w:tcPr>
            <w:tcW w:w="577" w:type="pct"/>
            <w:shd w:val="clear" w:color="auto" w:fill="auto"/>
            <w:vAlign w:val="center"/>
          </w:tcPr>
          <w:p w14:paraId="0CD633F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38%</w:t>
            </w:r>
          </w:p>
        </w:tc>
        <w:tc>
          <w:tcPr>
            <w:tcW w:w="564" w:type="pct"/>
            <w:shd w:val="clear" w:color="auto" w:fill="auto"/>
            <w:vAlign w:val="center"/>
          </w:tcPr>
          <w:p w14:paraId="1093A129"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24%</w:t>
            </w:r>
          </w:p>
        </w:tc>
      </w:tr>
    </w:tbl>
    <w:p w14:paraId="3A8A31A3" w14:textId="77777777" w:rsidR="00ED600B" w:rsidRPr="00743661" w:rsidRDefault="00ED7A15" w:rsidP="00ED7A15">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Main targets of production and business expected in 2024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2436"/>
        <w:gridCol w:w="1102"/>
        <w:gridCol w:w="1331"/>
        <w:gridCol w:w="1199"/>
        <w:gridCol w:w="1098"/>
        <w:gridCol w:w="1234"/>
      </w:tblGrid>
      <w:tr w:rsidR="00ED600B" w:rsidRPr="00743661" w14:paraId="18AD27EA" w14:textId="77777777" w:rsidTr="00ED7A15">
        <w:tc>
          <w:tcPr>
            <w:tcW w:w="342" w:type="pct"/>
            <w:shd w:val="clear" w:color="auto" w:fill="auto"/>
            <w:vAlign w:val="center"/>
          </w:tcPr>
          <w:p w14:paraId="629F158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No.</w:t>
            </w:r>
          </w:p>
        </w:tc>
        <w:tc>
          <w:tcPr>
            <w:tcW w:w="1351" w:type="pct"/>
            <w:shd w:val="clear" w:color="auto" w:fill="auto"/>
            <w:vAlign w:val="center"/>
          </w:tcPr>
          <w:p w14:paraId="0C0AAC2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Target</w:t>
            </w:r>
          </w:p>
        </w:tc>
        <w:tc>
          <w:tcPr>
            <w:tcW w:w="611" w:type="pct"/>
            <w:shd w:val="clear" w:color="auto" w:fill="auto"/>
            <w:vAlign w:val="center"/>
          </w:tcPr>
          <w:p w14:paraId="107BE7A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Unit</w:t>
            </w:r>
          </w:p>
        </w:tc>
        <w:tc>
          <w:tcPr>
            <w:tcW w:w="738" w:type="pct"/>
            <w:shd w:val="clear" w:color="auto" w:fill="auto"/>
            <w:vAlign w:val="center"/>
          </w:tcPr>
          <w:p w14:paraId="7C73D3E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Results in 2023 </w:t>
            </w:r>
          </w:p>
        </w:tc>
        <w:tc>
          <w:tcPr>
            <w:tcW w:w="665" w:type="pct"/>
            <w:shd w:val="clear" w:color="auto" w:fill="auto"/>
            <w:vAlign w:val="center"/>
          </w:tcPr>
          <w:p w14:paraId="0296238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Plan for 2024 </w:t>
            </w:r>
          </w:p>
        </w:tc>
        <w:tc>
          <w:tcPr>
            <w:tcW w:w="609" w:type="pct"/>
            <w:shd w:val="clear" w:color="auto" w:fill="auto"/>
            <w:vAlign w:val="center"/>
          </w:tcPr>
          <w:p w14:paraId="54DD082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w:t>
            </w:r>
          </w:p>
        </w:tc>
        <w:tc>
          <w:tcPr>
            <w:tcW w:w="684" w:type="pct"/>
            <w:shd w:val="clear" w:color="auto" w:fill="auto"/>
            <w:vAlign w:val="center"/>
          </w:tcPr>
          <w:p w14:paraId="3E8F409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Rate</w:t>
            </w:r>
          </w:p>
        </w:tc>
      </w:tr>
      <w:tr w:rsidR="00ED600B" w:rsidRPr="00743661" w14:paraId="0FD2E06D" w14:textId="77777777" w:rsidTr="00ED7A15">
        <w:tc>
          <w:tcPr>
            <w:tcW w:w="342" w:type="pct"/>
            <w:shd w:val="clear" w:color="auto" w:fill="auto"/>
            <w:vAlign w:val="center"/>
          </w:tcPr>
          <w:p w14:paraId="45E0EDA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w:t>
            </w:r>
          </w:p>
        </w:tc>
        <w:tc>
          <w:tcPr>
            <w:tcW w:w="1351" w:type="pct"/>
            <w:shd w:val="clear" w:color="auto" w:fill="auto"/>
            <w:vAlign w:val="center"/>
          </w:tcPr>
          <w:p w14:paraId="610B3CD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w:t>
            </w:r>
          </w:p>
        </w:tc>
        <w:tc>
          <w:tcPr>
            <w:tcW w:w="611" w:type="pct"/>
            <w:shd w:val="clear" w:color="auto" w:fill="auto"/>
            <w:vAlign w:val="center"/>
          </w:tcPr>
          <w:p w14:paraId="072933D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w:t>
            </w:r>
          </w:p>
        </w:tc>
        <w:tc>
          <w:tcPr>
            <w:tcW w:w="738" w:type="pct"/>
            <w:shd w:val="clear" w:color="auto" w:fill="auto"/>
            <w:vAlign w:val="center"/>
          </w:tcPr>
          <w:p w14:paraId="52B7442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(4)</w:t>
            </w:r>
          </w:p>
        </w:tc>
        <w:tc>
          <w:tcPr>
            <w:tcW w:w="665" w:type="pct"/>
            <w:shd w:val="clear" w:color="auto" w:fill="auto"/>
            <w:vAlign w:val="center"/>
          </w:tcPr>
          <w:p w14:paraId="5BBE861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w:t>
            </w:r>
          </w:p>
        </w:tc>
        <w:tc>
          <w:tcPr>
            <w:tcW w:w="609" w:type="pct"/>
            <w:shd w:val="clear" w:color="auto" w:fill="auto"/>
            <w:vAlign w:val="center"/>
          </w:tcPr>
          <w:p w14:paraId="372A750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w:t>
            </w:r>
            <w:proofErr w:type="gramStart"/>
            <w:r w:rsidRPr="00743661">
              <w:rPr>
                <w:rFonts w:ascii="Arial" w:hAnsi="Arial" w:cs="Arial"/>
                <w:color w:val="010000"/>
                <w:sz w:val="20"/>
              </w:rPr>
              <w:t>6)=</w:t>
            </w:r>
            <w:proofErr w:type="gramEnd"/>
            <w:r w:rsidRPr="00743661">
              <w:rPr>
                <w:rFonts w:ascii="Arial" w:hAnsi="Arial" w:cs="Arial"/>
                <w:color w:val="010000"/>
                <w:sz w:val="20"/>
              </w:rPr>
              <w:t>(5-4)</w:t>
            </w:r>
          </w:p>
        </w:tc>
        <w:tc>
          <w:tcPr>
            <w:tcW w:w="684" w:type="pct"/>
            <w:shd w:val="clear" w:color="auto" w:fill="auto"/>
            <w:vAlign w:val="center"/>
          </w:tcPr>
          <w:p w14:paraId="72D927A5"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w:t>
            </w:r>
            <w:proofErr w:type="gramStart"/>
            <w:r w:rsidRPr="00743661">
              <w:rPr>
                <w:rFonts w:ascii="Arial" w:hAnsi="Arial" w:cs="Arial"/>
                <w:color w:val="010000"/>
                <w:sz w:val="20"/>
              </w:rPr>
              <w:t>7)=</w:t>
            </w:r>
            <w:proofErr w:type="gramEnd"/>
            <w:r w:rsidRPr="00743661">
              <w:rPr>
                <w:rFonts w:ascii="Arial" w:hAnsi="Arial" w:cs="Arial"/>
                <w:color w:val="010000"/>
                <w:sz w:val="20"/>
              </w:rPr>
              <w:t>(5/4)%</w:t>
            </w:r>
          </w:p>
        </w:tc>
      </w:tr>
      <w:tr w:rsidR="00ED600B" w:rsidRPr="00743661" w14:paraId="4A158D76" w14:textId="77777777" w:rsidTr="00ED7A15">
        <w:tc>
          <w:tcPr>
            <w:tcW w:w="342" w:type="pct"/>
            <w:shd w:val="clear" w:color="auto" w:fill="auto"/>
            <w:vAlign w:val="center"/>
          </w:tcPr>
          <w:p w14:paraId="27F8764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I</w:t>
            </w:r>
          </w:p>
        </w:tc>
        <w:tc>
          <w:tcPr>
            <w:tcW w:w="1351" w:type="pct"/>
            <w:shd w:val="clear" w:color="auto" w:fill="auto"/>
            <w:vAlign w:val="center"/>
          </w:tcPr>
          <w:p w14:paraId="01DDB8D1"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Output</w:t>
            </w:r>
          </w:p>
        </w:tc>
        <w:tc>
          <w:tcPr>
            <w:tcW w:w="611" w:type="pct"/>
            <w:shd w:val="clear" w:color="auto" w:fill="auto"/>
            <w:vAlign w:val="center"/>
          </w:tcPr>
          <w:p w14:paraId="3207E08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43661">
              <w:rPr>
                <w:rFonts w:ascii="Arial" w:hAnsi="Arial" w:cs="Arial"/>
                <w:color w:val="010000"/>
                <w:sz w:val="20"/>
              </w:rPr>
              <w:t>KWh</w:t>
            </w:r>
            <w:proofErr w:type="spellEnd"/>
          </w:p>
        </w:tc>
        <w:tc>
          <w:tcPr>
            <w:tcW w:w="738" w:type="pct"/>
            <w:shd w:val="clear" w:color="auto" w:fill="auto"/>
            <w:vAlign w:val="center"/>
          </w:tcPr>
          <w:p w14:paraId="733E44A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53,763,315</w:t>
            </w:r>
          </w:p>
        </w:tc>
        <w:tc>
          <w:tcPr>
            <w:tcW w:w="665" w:type="pct"/>
            <w:shd w:val="clear" w:color="auto" w:fill="auto"/>
            <w:vAlign w:val="center"/>
          </w:tcPr>
          <w:p w14:paraId="36DCE42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52,014,563</w:t>
            </w:r>
          </w:p>
        </w:tc>
        <w:tc>
          <w:tcPr>
            <w:tcW w:w="609" w:type="pct"/>
            <w:shd w:val="clear" w:color="auto" w:fill="auto"/>
            <w:vAlign w:val="center"/>
          </w:tcPr>
          <w:p w14:paraId="5329A79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- 1,748,752</w:t>
            </w:r>
          </w:p>
        </w:tc>
        <w:tc>
          <w:tcPr>
            <w:tcW w:w="684" w:type="pct"/>
            <w:shd w:val="clear" w:color="auto" w:fill="auto"/>
            <w:vAlign w:val="center"/>
          </w:tcPr>
          <w:p w14:paraId="000E927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97%</w:t>
            </w:r>
          </w:p>
        </w:tc>
      </w:tr>
      <w:tr w:rsidR="00ED600B" w:rsidRPr="00743661" w14:paraId="7CAB8684" w14:textId="77777777" w:rsidTr="00ED7A15">
        <w:tc>
          <w:tcPr>
            <w:tcW w:w="342" w:type="pct"/>
            <w:shd w:val="clear" w:color="auto" w:fill="auto"/>
            <w:vAlign w:val="center"/>
          </w:tcPr>
          <w:p w14:paraId="37E0C47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II</w:t>
            </w:r>
          </w:p>
        </w:tc>
        <w:tc>
          <w:tcPr>
            <w:tcW w:w="1351" w:type="pct"/>
            <w:shd w:val="clear" w:color="auto" w:fill="auto"/>
            <w:vAlign w:val="center"/>
          </w:tcPr>
          <w:p w14:paraId="44DE774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Revenue</w:t>
            </w:r>
          </w:p>
        </w:tc>
        <w:tc>
          <w:tcPr>
            <w:tcW w:w="611" w:type="pct"/>
            <w:shd w:val="clear" w:color="auto" w:fill="auto"/>
            <w:vAlign w:val="center"/>
          </w:tcPr>
          <w:p w14:paraId="2592BB6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738" w:type="pct"/>
            <w:shd w:val="clear" w:color="auto" w:fill="auto"/>
            <w:vAlign w:val="center"/>
          </w:tcPr>
          <w:p w14:paraId="092C4BB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65,821</w:t>
            </w:r>
          </w:p>
        </w:tc>
        <w:tc>
          <w:tcPr>
            <w:tcW w:w="665" w:type="pct"/>
            <w:shd w:val="clear" w:color="auto" w:fill="auto"/>
            <w:vAlign w:val="center"/>
          </w:tcPr>
          <w:p w14:paraId="03626C0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65,649</w:t>
            </w:r>
          </w:p>
        </w:tc>
        <w:tc>
          <w:tcPr>
            <w:tcW w:w="609" w:type="pct"/>
            <w:shd w:val="clear" w:color="auto" w:fill="auto"/>
            <w:vAlign w:val="center"/>
          </w:tcPr>
          <w:p w14:paraId="71D6FE44"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-173</w:t>
            </w:r>
          </w:p>
        </w:tc>
        <w:tc>
          <w:tcPr>
            <w:tcW w:w="684" w:type="pct"/>
            <w:shd w:val="clear" w:color="auto" w:fill="auto"/>
            <w:vAlign w:val="center"/>
          </w:tcPr>
          <w:p w14:paraId="5FE5599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100%</w:t>
            </w:r>
          </w:p>
        </w:tc>
      </w:tr>
      <w:tr w:rsidR="00ED600B" w:rsidRPr="00743661" w14:paraId="632F5661" w14:textId="77777777" w:rsidTr="00ED7A15">
        <w:tc>
          <w:tcPr>
            <w:tcW w:w="342" w:type="pct"/>
            <w:shd w:val="clear" w:color="auto" w:fill="auto"/>
            <w:vAlign w:val="center"/>
          </w:tcPr>
          <w:p w14:paraId="5B5475C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lastRenderedPageBreak/>
              <w:t>III</w:t>
            </w:r>
          </w:p>
        </w:tc>
        <w:tc>
          <w:tcPr>
            <w:tcW w:w="1351" w:type="pct"/>
            <w:shd w:val="clear" w:color="auto" w:fill="auto"/>
            <w:vAlign w:val="center"/>
          </w:tcPr>
          <w:p w14:paraId="52374F0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Expenses</w:t>
            </w:r>
          </w:p>
        </w:tc>
        <w:tc>
          <w:tcPr>
            <w:tcW w:w="611" w:type="pct"/>
            <w:shd w:val="clear" w:color="auto" w:fill="auto"/>
            <w:vAlign w:val="center"/>
          </w:tcPr>
          <w:p w14:paraId="2EDE889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738" w:type="pct"/>
            <w:shd w:val="clear" w:color="auto" w:fill="auto"/>
            <w:vAlign w:val="center"/>
          </w:tcPr>
          <w:p w14:paraId="2A2A0D2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60,058</w:t>
            </w:r>
          </w:p>
        </w:tc>
        <w:tc>
          <w:tcPr>
            <w:tcW w:w="665" w:type="pct"/>
            <w:shd w:val="clear" w:color="auto" w:fill="auto"/>
            <w:vAlign w:val="center"/>
          </w:tcPr>
          <w:p w14:paraId="2A4748E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56,825</w:t>
            </w:r>
          </w:p>
        </w:tc>
        <w:tc>
          <w:tcPr>
            <w:tcW w:w="609" w:type="pct"/>
            <w:shd w:val="clear" w:color="auto" w:fill="auto"/>
            <w:vAlign w:val="center"/>
          </w:tcPr>
          <w:p w14:paraId="0BC5183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-3,233</w:t>
            </w:r>
          </w:p>
        </w:tc>
        <w:tc>
          <w:tcPr>
            <w:tcW w:w="684" w:type="pct"/>
            <w:shd w:val="clear" w:color="auto" w:fill="auto"/>
            <w:vAlign w:val="center"/>
          </w:tcPr>
          <w:p w14:paraId="233FD73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95%</w:t>
            </w:r>
          </w:p>
        </w:tc>
      </w:tr>
      <w:tr w:rsidR="00ED600B" w:rsidRPr="00743661" w14:paraId="17A7E928" w14:textId="77777777" w:rsidTr="00ED7A15">
        <w:tc>
          <w:tcPr>
            <w:tcW w:w="342" w:type="pct"/>
            <w:shd w:val="clear" w:color="auto" w:fill="auto"/>
            <w:vAlign w:val="center"/>
          </w:tcPr>
          <w:p w14:paraId="2A11B07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w:t>
            </w:r>
          </w:p>
        </w:tc>
        <w:tc>
          <w:tcPr>
            <w:tcW w:w="1351" w:type="pct"/>
            <w:shd w:val="clear" w:color="auto" w:fill="auto"/>
            <w:vAlign w:val="center"/>
          </w:tcPr>
          <w:p w14:paraId="03AA936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Production expenses</w:t>
            </w:r>
          </w:p>
        </w:tc>
        <w:tc>
          <w:tcPr>
            <w:tcW w:w="611" w:type="pct"/>
            <w:shd w:val="clear" w:color="auto" w:fill="auto"/>
            <w:vAlign w:val="center"/>
          </w:tcPr>
          <w:p w14:paraId="41E6952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738" w:type="pct"/>
            <w:shd w:val="clear" w:color="auto" w:fill="auto"/>
            <w:vAlign w:val="center"/>
          </w:tcPr>
          <w:p w14:paraId="45F53A8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29,441</w:t>
            </w:r>
          </w:p>
        </w:tc>
        <w:tc>
          <w:tcPr>
            <w:tcW w:w="665" w:type="pct"/>
            <w:shd w:val="clear" w:color="auto" w:fill="auto"/>
            <w:vAlign w:val="center"/>
          </w:tcPr>
          <w:p w14:paraId="6BD452A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30,908</w:t>
            </w:r>
          </w:p>
        </w:tc>
        <w:tc>
          <w:tcPr>
            <w:tcW w:w="609" w:type="pct"/>
            <w:shd w:val="clear" w:color="auto" w:fill="auto"/>
            <w:vAlign w:val="center"/>
          </w:tcPr>
          <w:p w14:paraId="4B74585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1,466</w:t>
            </w:r>
          </w:p>
        </w:tc>
        <w:tc>
          <w:tcPr>
            <w:tcW w:w="684" w:type="pct"/>
            <w:shd w:val="clear" w:color="auto" w:fill="auto"/>
            <w:vAlign w:val="center"/>
          </w:tcPr>
          <w:p w14:paraId="496DE2F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105%</w:t>
            </w:r>
          </w:p>
        </w:tc>
      </w:tr>
      <w:tr w:rsidR="00ED600B" w:rsidRPr="00743661" w14:paraId="2A500AE2" w14:textId="77777777" w:rsidTr="00ED7A15">
        <w:tc>
          <w:tcPr>
            <w:tcW w:w="342" w:type="pct"/>
            <w:shd w:val="clear" w:color="auto" w:fill="auto"/>
            <w:vAlign w:val="center"/>
          </w:tcPr>
          <w:p w14:paraId="1FA8607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w:t>
            </w:r>
          </w:p>
        </w:tc>
        <w:tc>
          <w:tcPr>
            <w:tcW w:w="1351" w:type="pct"/>
            <w:shd w:val="clear" w:color="auto" w:fill="auto"/>
            <w:vAlign w:val="center"/>
          </w:tcPr>
          <w:p w14:paraId="1988E91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Administrative expenses and other expenses </w:t>
            </w:r>
          </w:p>
        </w:tc>
        <w:tc>
          <w:tcPr>
            <w:tcW w:w="611" w:type="pct"/>
            <w:shd w:val="clear" w:color="auto" w:fill="auto"/>
            <w:vAlign w:val="center"/>
          </w:tcPr>
          <w:p w14:paraId="346375A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738" w:type="pct"/>
            <w:shd w:val="clear" w:color="auto" w:fill="auto"/>
            <w:vAlign w:val="center"/>
          </w:tcPr>
          <w:p w14:paraId="66A5F83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5,337</w:t>
            </w:r>
          </w:p>
        </w:tc>
        <w:tc>
          <w:tcPr>
            <w:tcW w:w="665" w:type="pct"/>
            <w:shd w:val="clear" w:color="auto" w:fill="auto"/>
            <w:vAlign w:val="center"/>
          </w:tcPr>
          <w:p w14:paraId="082F25D4"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5,559</w:t>
            </w:r>
          </w:p>
        </w:tc>
        <w:tc>
          <w:tcPr>
            <w:tcW w:w="609" w:type="pct"/>
            <w:shd w:val="clear" w:color="auto" w:fill="auto"/>
            <w:vAlign w:val="center"/>
          </w:tcPr>
          <w:p w14:paraId="13CAE81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223</w:t>
            </w:r>
          </w:p>
        </w:tc>
        <w:tc>
          <w:tcPr>
            <w:tcW w:w="684" w:type="pct"/>
            <w:shd w:val="clear" w:color="auto" w:fill="auto"/>
            <w:vAlign w:val="center"/>
          </w:tcPr>
          <w:p w14:paraId="6A35BAE6"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104%</w:t>
            </w:r>
          </w:p>
        </w:tc>
      </w:tr>
      <w:tr w:rsidR="00ED600B" w:rsidRPr="00743661" w14:paraId="62800E66" w14:textId="77777777" w:rsidTr="00ED7A15">
        <w:tc>
          <w:tcPr>
            <w:tcW w:w="342" w:type="pct"/>
            <w:shd w:val="clear" w:color="auto" w:fill="auto"/>
            <w:vAlign w:val="center"/>
          </w:tcPr>
          <w:p w14:paraId="5BBE4735"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w:t>
            </w:r>
          </w:p>
        </w:tc>
        <w:tc>
          <w:tcPr>
            <w:tcW w:w="1351" w:type="pct"/>
            <w:shd w:val="clear" w:color="auto" w:fill="auto"/>
            <w:vAlign w:val="center"/>
          </w:tcPr>
          <w:p w14:paraId="2DBEA48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Financial expenses:</w:t>
            </w:r>
          </w:p>
        </w:tc>
        <w:tc>
          <w:tcPr>
            <w:tcW w:w="611" w:type="pct"/>
            <w:shd w:val="clear" w:color="auto" w:fill="auto"/>
            <w:vAlign w:val="center"/>
          </w:tcPr>
          <w:p w14:paraId="05BBAF6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738" w:type="pct"/>
            <w:shd w:val="clear" w:color="auto" w:fill="auto"/>
            <w:vAlign w:val="center"/>
          </w:tcPr>
          <w:p w14:paraId="0C45F29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25,280</w:t>
            </w:r>
          </w:p>
        </w:tc>
        <w:tc>
          <w:tcPr>
            <w:tcW w:w="665" w:type="pct"/>
            <w:shd w:val="clear" w:color="auto" w:fill="auto"/>
            <w:vAlign w:val="center"/>
          </w:tcPr>
          <w:p w14:paraId="7279613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20,358</w:t>
            </w:r>
          </w:p>
        </w:tc>
        <w:tc>
          <w:tcPr>
            <w:tcW w:w="609" w:type="pct"/>
            <w:shd w:val="clear" w:color="auto" w:fill="auto"/>
            <w:vAlign w:val="center"/>
          </w:tcPr>
          <w:p w14:paraId="3592DE8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-4,922</w:t>
            </w:r>
          </w:p>
        </w:tc>
        <w:tc>
          <w:tcPr>
            <w:tcW w:w="684" w:type="pct"/>
            <w:shd w:val="clear" w:color="auto" w:fill="auto"/>
            <w:vAlign w:val="center"/>
          </w:tcPr>
          <w:p w14:paraId="5E6EFA2A"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81%</w:t>
            </w:r>
          </w:p>
        </w:tc>
      </w:tr>
      <w:tr w:rsidR="00ED600B" w:rsidRPr="00743661" w14:paraId="672F45A3" w14:textId="77777777" w:rsidTr="00ED7A15">
        <w:tc>
          <w:tcPr>
            <w:tcW w:w="342" w:type="pct"/>
            <w:shd w:val="clear" w:color="auto" w:fill="auto"/>
            <w:vAlign w:val="center"/>
          </w:tcPr>
          <w:p w14:paraId="65B5438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IV</w:t>
            </w:r>
          </w:p>
        </w:tc>
        <w:tc>
          <w:tcPr>
            <w:tcW w:w="1351" w:type="pct"/>
            <w:shd w:val="clear" w:color="auto" w:fill="auto"/>
            <w:vAlign w:val="center"/>
          </w:tcPr>
          <w:p w14:paraId="75ECA87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Profit before tax</w:t>
            </w:r>
          </w:p>
        </w:tc>
        <w:tc>
          <w:tcPr>
            <w:tcW w:w="611" w:type="pct"/>
            <w:shd w:val="clear" w:color="auto" w:fill="auto"/>
            <w:vAlign w:val="center"/>
          </w:tcPr>
          <w:p w14:paraId="1309062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738" w:type="pct"/>
            <w:shd w:val="clear" w:color="auto" w:fill="auto"/>
            <w:vAlign w:val="center"/>
          </w:tcPr>
          <w:p w14:paraId="5C3DBCF0"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5,763</w:t>
            </w:r>
          </w:p>
        </w:tc>
        <w:tc>
          <w:tcPr>
            <w:tcW w:w="665" w:type="pct"/>
            <w:shd w:val="clear" w:color="auto" w:fill="auto"/>
            <w:vAlign w:val="center"/>
          </w:tcPr>
          <w:p w14:paraId="47863AE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8,824</w:t>
            </w:r>
          </w:p>
        </w:tc>
        <w:tc>
          <w:tcPr>
            <w:tcW w:w="609" w:type="pct"/>
            <w:shd w:val="clear" w:color="auto" w:fill="auto"/>
            <w:vAlign w:val="center"/>
          </w:tcPr>
          <w:p w14:paraId="038F539E"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3,060</w:t>
            </w:r>
          </w:p>
        </w:tc>
        <w:tc>
          <w:tcPr>
            <w:tcW w:w="684" w:type="pct"/>
            <w:shd w:val="clear" w:color="auto" w:fill="auto"/>
            <w:vAlign w:val="center"/>
          </w:tcPr>
          <w:p w14:paraId="2C878CB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153%</w:t>
            </w:r>
          </w:p>
        </w:tc>
      </w:tr>
      <w:tr w:rsidR="00ED600B" w:rsidRPr="00743661" w14:paraId="1E6A77D3" w14:textId="77777777" w:rsidTr="00ED7A15">
        <w:tc>
          <w:tcPr>
            <w:tcW w:w="342" w:type="pct"/>
            <w:shd w:val="clear" w:color="auto" w:fill="auto"/>
            <w:vAlign w:val="center"/>
          </w:tcPr>
          <w:p w14:paraId="1B8F7EA5"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V</w:t>
            </w:r>
          </w:p>
        </w:tc>
        <w:tc>
          <w:tcPr>
            <w:tcW w:w="1351" w:type="pct"/>
            <w:shd w:val="clear" w:color="auto" w:fill="auto"/>
            <w:vAlign w:val="center"/>
          </w:tcPr>
          <w:p w14:paraId="6AFA4027"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Profit after tax</w:t>
            </w:r>
          </w:p>
        </w:tc>
        <w:tc>
          <w:tcPr>
            <w:tcW w:w="611" w:type="pct"/>
            <w:shd w:val="clear" w:color="auto" w:fill="auto"/>
            <w:vAlign w:val="center"/>
          </w:tcPr>
          <w:p w14:paraId="1D7C0B8F"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Million VND</w:t>
            </w:r>
          </w:p>
        </w:tc>
        <w:tc>
          <w:tcPr>
            <w:tcW w:w="738" w:type="pct"/>
            <w:shd w:val="clear" w:color="auto" w:fill="auto"/>
            <w:vAlign w:val="center"/>
          </w:tcPr>
          <w:p w14:paraId="3AD43C4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4,938</w:t>
            </w:r>
          </w:p>
        </w:tc>
        <w:tc>
          <w:tcPr>
            <w:tcW w:w="665" w:type="pct"/>
            <w:shd w:val="clear" w:color="auto" w:fill="auto"/>
            <w:vAlign w:val="center"/>
          </w:tcPr>
          <w:p w14:paraId="7B1A1728"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7,974</w:t>
            </w:r>
          </w:p>
        </w:tc>
        <w:tc>
          <w:tcPr>
            <w:tcW w:w="609" w:type="pct"/>
            <w:shd w:val="clear" w:color="auto" w:fill="auto"/>
            <w:vAlign w:val="center"/>
          </w:tcPr>
          <w:p w14:paraId="32F75AC9"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3,036</w:t>
            </w:r>
          </w:p>
        </w:tc>
        <w:tc>
          <w:tcPr>
            <w:tcW w:w="684" w:type="pct"/>
            <w:shd w:val="clear" w:color="auto" w:fill="auto"/>
            <w:vAlign w:val="center"/>
          </w:tcPr>
          <w:p w14:paraId="5662913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161%</w:t>
            </w:r>
          </w:p>
        </w:tc>
      </w:tr>
    </w:tbl>
    <w:p w14:paraId="56F74C8D"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Article 3: Approve the Report No. 01/2024/BC-BKS dated February 28, 2024 of the Supervisory Board of the Company on the activities results in 2023, orientation and operational tasks for 2024.</w:t>
      </w:r>
    </w:p>
    <w:p w14:paraId="68409842"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Article 4: Approve the Audited Financial Statements 2023 and Proposal No. 01/2024/TT-BKS dated February 23, 2024 of the Supervisory Board on the proposal to approve the authorization to select an independent audit company to audit the Financial Statements 2024</w:t>
      </w:r>
    </w:p>
    <w:p w14:paraId="111E106B"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Article 5: Approve the Proposal No. 01/2024 TT-HDQT dated February 28, 2024 of the Board of Directors on the plan on distributing profit after tax in 2023 and expectation for 2024.</w:t>
      </w:r>
    </w:p>
    <w:p w14:paraId="496896B0" w14:textId="77777777" w:rsidR="00ED600B" w:rsidRPr="00743661" w:rsidRDefault="00ED7A15" w:rsidP="00ED7A15">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Profit distribution plan in 2023</w:t>
      </w:r>
    </w:p>
    <w:p w14:paraId="4C69B228" w14:textId="77777777" w:rsidR="00ED600B" w:rsidRPr="00743661" w:rsidRDefault="00ED7A15" w:rsidP="00ED7A15">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Total undistributed profit after tax: VND 4,937,551,134</w:t>
      </w:r>
    </w:p>
    <w:p w14:paraId="0DE488AB" w14:textId="77777777" w:rsidR="00ED600B" w:rsidRPr="00743661" w:rsidRDefault="00ED7A15" w:rsidP="00ED7A15">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Expected distribution:</w:t>
      </w:r>
    </w:p>
    <w:p w14:paraId="135BBD53" w14:textId="77777777" w:rsidR="00ED600B" w:rsidRPr="00743661" w:rsidRDefault="00ED7A15" w:rsidP="00ED7A15">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Dividend payment 2%: VND 3,000,000,000</w:t>
      </w:r>
    </w:p>
    <w:p w14:paraId="417ACB48" w14:textId="77777777" w:rsidR="00ED600B" w:rsidRPr="00743661" w:rsidRDefault="00ED7A15" w:rsidP="00ED7A15">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Appropriation for investment and development funds. VND 1,363,551,134</w:t>
      </w:r>
    </w:p>
    <w:p w14:paraId="1ED5507E" w14:textId="77777777" w:rsidR="00ED600B" w:rsidRPr="00743661" w:rsidRDefault="00ED7A15" w:rsidP="00ED7A15">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Appropriation for bonus and welfare fund: VND 250,000,000</w:t>
      </w:r>
    </w:p>
    <w:p w14:paraId="787DA240" w14:textId="77777777" w:rsidR="00ED600B" w:rsidRPr="00743661" w:rsidRDefault="00ED7A15" w:rsidP="00ED7A15">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Remuneration settlement for the Board of Directors and the Supervisory Board in 2023: VND 324,000,000</w:t>
      </w:r>
    </w:p>
    <w:p w14:paraId="06C65F19" w14:textId="77777777" w:rsidR="00ED600B" w:rsidRPr="00743661" w:rsidRDefault="00ED7A15" w:rsidP="00ED7A15">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The Plan on dividend payment in 2023:</w:t>
      </w:r>
    </w:p>
    <w:p w14:paraId="033B00A7" w14:textId="77777777" w:rsidR="00ED600B" w:rsidRPr="00743661" w:rsidRDefault="00ED7A15" w:rsidP="00ED7A15">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Total amount for dividends payment: VND 3,000,000,000</w:t>
      </w:r>
    </w:p>
    <w:p w14:paraId="0994AD7C" w14:textId="77777777" w:rsidR="00ED600B" w:rsidRPr="00743661" w:rsidRDefault="00ED7A15" w:rsidP="00ED7A15">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Payment method: In cash</w:t>
      </w:r>
    </w:p>
    <w:p w14:paraId="27D024F9" w14:textId="77777777" w:rsidR="00ED600B" w:rsidRPr="00743661" w:rsidRDefault="00ED7A15" w:rsidP="00ED7A15">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Payment time: From September 01, 2024 </w:t>
      </w:r>
    </w:p>
    <w:p w14:paraId="77273465" w14:textId="77777777" w:rsidR="00ED600B" w:rsidRPr="00743661" w:rsidRDefault="00ED7A15" w:rsidP="00ED7A15">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Expected profit distribution plan for 2024:</w:t>
      </w:r>
    </w:p>
    <w:p w14:paraId="3611F061" w14:textId="77777777" w:rsidR="00ED600B" w:rsidRPr="00743661" w:rsidRDefault="00ED7A15" w:rsidP="00ED7A15">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Dividends: The specific rate of payment depends on the actual results of production and business in 2024</w:t>
      </w:r>
    </w:p>
    <w:p w14:paraId="693F87D6" w14:textId="77777777" w:rsidR="00ED600B" w:rsidRPr="00743661" w:rsidRDefault="00ED7A15" w:rsidP="00ED7A15">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Appropriation for funds </w:t>
      </w:r>
      <w:proofErr w:type="gramStart"/>
      <w:r w:rsidRPr="00743661">
        <w:rPr>
          <w:rFonts w:ascii="Arial" w:hAnsi="Arial" w:cs="Arial"/>
          <w:color w:val="010000"/>
          <w:sz w:val="20"/>
        </w:rPr>
        <w:t>The</w:t>
      </w:r>
      <w:proofErr w:type="gramEnd"/>
      <w:r w:rsidRPr="00743661">
        <w:rPr>
          <w:rFonts w:ascii="Arial" w:hAnsi="Arial" w:cs="Arial"/>
          <w:color w:val="010000"/>
          <w:sz w:val="20"/>
        </w:rPr>
        <w:t xml:space="preserve"> specific rate of appropriation depends on the actual results of production and business in 2024</w:t>
      </w:r>
    </w:p>
    <w:p w14:paraId="454B0B56" w14:textId="77777777" w:rsidR="00ED600B" w:rsidRPr="00743661" w:rsidRDefault="00ED7A15" w:rsidP="00ED7A15">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 xml:space="preserve">Remuneration settlement for the Board of Directors and the Supervisory Board as per the </w:t>
      </w:r>
      <w:r w:rsidRPr="00743661">
        <w:rPr>
          <w:rFonts w:ascii="Arial" w:hAnsi="Arial" w:cs="Arial"/>
          <w:color w:val="010000"/>
          <w:sz w:val="20"/>
        </w:rPr>
        <w:lastRenderedPageBreak/>
        <w:t>approved plan.</w:t>
      </w:r>
    </w:p>
    <w:p w14:paraId="6AFEBFFA" w14:textId="77777777" w:rsidR="00ED600B" w:rsidRPr="00743661" w:rsidRDefault="00ED7A15" w:rsidP="00ED7A15">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Bonus for the Board of Directors, the Executive Board, and the managerial personnel with a maximum of 10% of the profit after tax exceeding the profit plan for 2024.</w:t>
      </w:r>
    </w:p>
    <w:p w14:paraId="4A17BC93"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Article 6: Approve the Proposal No. 02/2024/TT-HDQT dated February 28, 2024 of the Board of Directors on the proposal of the remuneration for the Board of Directors and the Supervisory Board in 2024.</w:t>
      </w:r>
    </w:p>
    <w:p w14:paraId="0BAA3CD4"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Article 7: Approve the contents on dismissing and the plan to elect additional members for the Board of Directors for the remaining time of the term of 2020-2025 as per Proposal No. 03/2024/TT-HDQT dated February 28, 2024.</w:t>
      </w:r>
    </w:p>
    <w:p w14:paraId="1CEC5A4C" w14:textId="77777777" w:rsidR="00ED600B" w:rsidRPr="00743661" w:rsidRDefault="00ED7A15" w:rsidP="00ED7A15">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Dismiss Mr. Le Van Thuy from the position of the member of the Board of Directors.</w:t>
      </w:r>
    </w:p>
    <w:p w14:paraId="3250E1D0" w14:textId="77777777" w:rsidR="00ED600B" w:rsidRPr="00743661" w:rsidRDefault="00ED7A15" w:rsidP="00ED7A15">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Election results of additional member for the Board of Directors: Mr. Nguyen Thanh Phuong was elected as the member of the Board of Directors of Xuan Minh Hydro Power Joint Stock Company for the remaining time of the term of 2020-2025.</w:t>
      </w:r>
    </w:p>
    <w:p w14:paraId="63F3B7FC" w14:textId="77777777" w:rsidR="00ED600B" w:rsidRPr="00743661" w:rsidRDefault="00ED7A15" w:rsidP="00ED7A15">
      <w:p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Article 8: Terms of enforcement</w:t>
      </w:r>
    </w:p>
    <w:p w14:paraId="17E62D12" w14:textId="77777777" w:rsidR="00ED600B" w:rsidRPr="00743661" w:rsidRDefault="00ED7A15" w:rsidP="00ED7A15">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43661">
        <w:rPr>
          <w:rFonts w:ascii="Arial" w:hAnsi="Arial" w:cs="Arial"/>
          <w:color w:val="010000"/>
          <w:sz w:val="20"/>
        </w:rPr>
        <w:t>Thí</w:t>
      </w:r>
      <w:proofErr w:type="spellEnd"/>
      <w:r w:rsidRPr="00743661">
        <w:rPr>
          <w:rFonts w:ascii="Arial" w:hAnsi="Arial" w:cs="Arial"/>
          <w:color w:val="010000"/>
          <w:sz w:val="20"/>
        </w:rPr>
        <w:t xml:space="preserve"> General Mandate dated March 26, 2024 is approved by the General Meeting of Shareholders of the company with the rate of approval of 100% and takes effects from the date of its signing.</w:t>
      </w:r>
    </w:p>
    <w:p w14:paraId="745BBBF1" w14:textId="77777777" w:rsidR="00ED600B" w:rsidRPr="00743661" w:rsidRDefault="00ED7A15" w:rsidP="00ED7A15">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743661">
        <w:rPr>
          <w:rFonts w:ascii="Arial" w:hAnsi="Arial" w:cs="Arial"/>
          <w:color w:val="010000"/>
          <w:sz w:val="20"/>
        </w:rPr>
        <w:t>The General Meeting of Shareholders assigns the Board of Directors, the Board of Management, the Supervisory Board of the Company organize the implementation of these above contents in accordance with the Company’s Charter and the provisions of the current laws.</w:t>
      </w:r>
    </w:p>
    <w:sectPr w:rsidR="00ED600B" w:rsidRPr="00743661" w:rsidSect="00ED7A1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417"/>
    <w:multiLevelType w:val="multilevel"/>
    <w:tmpl w:val="DED07F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083752"/>
    <w:multiLevelType w:val="multilevel"/>
    <w:tmpl w:val="F4A0612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7FA3C76"/>
    <w:multiLevelType w:val="multilevel"/>
    <w:tmpl w:val="708AD89C"/>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D4E6084"/>
    <w:multiLevelType w:val="multilevel"/>
    <w:tmpl w:val="C6A422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70A0DA4"/>
    <w:multiLevelType w:val="multilevel"/>
    <w:tmpl w:val="062E5204"/>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9382E8A"/>
    <w:multiLevelType w:val="multilevel"/>
    <w:tmpl w:val="332694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A6A13BF"/>
    <w:multiLevelType w:val="multilevel"/>
    <w:tmpl w:val="847268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0B"/>
    <w:rsid w:val="00743661"/>
    <w:rsid w:val="00ED600B"/>
    <w:rsid w:val="00ED7A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CBEA4"/>
  <w15:docId w15:val="{0851F743-30B3-44FE-ACDC-C69C37D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ahoma" w:eastAsia="Tahoma" w:hAnsi="Tahoma" w:cs="Tahoma"/>
      <w:b w:val="0"/>
      <w:bCs w:val="0"/>
      <w:i w:val="0"/>
      <w:iCs w:val="0"/>
      <w:smallCaps w:val="0"/>
      <w:strike w:val="0"/>
      <w:sz w:val="20"/>
      <w:szCs w:val="20"/>
      <w:u w:val="none"/>
      <w:shd w:val="clear" w:color="auto" w:fill="auto"/>
    </w:rPr>
  </w:style>
  <w:style w:type="character" w:customStyle="1" w:styleId="Tiu4">
    <w:name w:val="Tiêu đề #4_"/>
    <w:basedOn w:val="DefaultParagraphFont"/>
    <w:link w:val="Tiu40"/>
    <w:rPr>
      <w:rFonts w:ascii="Tahoma" w:eastAsia="Tahoma" w:hAnsi="Tahoma" w:cs="Tahoma"/>
      <w:b/>
      <w:bCs/>
      <w:i w:val="0"/>
      <w:iCs w:val="0"/>
      <w:smallCaps w:val="0"/>
      <w:strike w:val="0"/>
      <w:sz w:val="20"/>
      <w:szCs w:val="20"/>
      <w:u w:val="none"/>
      <w:shd w:val="clear" w:color="auto" w:fill="auto"/>
    </w:rPr>
  </w:style>
  <w:style w:type="character" w:customStyle="1" w:styleId="Tiu3">
    <w:name w:val="Tiêu đề #3_"/>
    <w:basedOn w:val="DefaultParagraphFont"/>
    <w:link w:val="Tiu30"/>
    <w:rPr>
      <w:rFonts w:ascii="Tahoma" w:eastAsia="Tahoma" w:hAnsi="Tahoma" w:cs="Tahoma"/>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ahoma" w:eastAsia="Tahoma" w:hAnsi="Tahoma" w:cs="Tahoma"/>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ahoma" w:eastAsia="Tahoma" w:hAnsi="Tahoma" w:cs="Tahoma"/>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ahoma" w:eastAsia="Tahoma" w:hAnsi="Tahoma" w:cs="Tahoma"/>
      <w:b/>
      <w:bCs/>
      <w:i/>
      <w:iCs/>
      <w:smallCaps w:val="0"/>
      <w:strike w:val="0"/>
      <w:sz w:val="18"/>
      <w:szCs w:val="18"/>
      <w:u w:val="singl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iCs/>
      <w:smallCaps w:val="0"/>
      <w:strike w:val="0"/>
      <w:sz w:val="15"/>
      <w:szCs w:val="15"/>
      <w:u w:val="none"/>
      <w:shd w:val="clear" w:color="auto" w:fill="auto"/>
    </w:rPr>
  </w:style>
  <w:style w:type="character" w:customStyle="1" w:styleId="Chthchbng">
    <w:name w:val="Chú thích bảng_"/>
    <w:basedOn w:val="DefaultParagraphFont"/>
    <w:link w:val="Chthchbng0"/>
    <w:rPr>
      <w:rFonts w:ascii="Tahoma" w:eastAsia="Tahoma" w:hAnsi="Tahoma" w:cs="Tahoma"/>
      <w:b/>
      <w:bCs/>
      <w:i w:val="0"/>
      <w:iCs w:val="0"/>
      <w:smallCaps w:val="0"/>
      <w:strike w:val="0"/>
      <w:sz w:val="20"/>
      <w:szCs w:val="20"/>
      <w:u w:val="none"/>
      <w:shd w:val="clear" w:color="auto" w:fill="auto"/>
    </w:rPr>
  </w:style>
  <w:style w:type="character" w:customStyle="1" w:styleId="Khc">
    <w:name w:val="Khác_"/>
    <w:basedOn w:val="DefaultParagraphFont"/>
    <w:link w:val="Khc0"/>
    <w:rPr>
      <w:rFonts w:ascii="Tahoma" w:eastAsia="Tahoma" w:hAnsi="Tahoma" w:cs="Tahoma"/>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2" w:lineRule="auto"/>
    </w:pPr>
    <w:rPr>
      <w:rFonts w:ascii="Tahoma" w:eastAsia="Tahoma" w:hAnsi="Tahoma" w:cs="Tahoma"/>
      <w:sz w:val="20"/>
      <w:szCs w:val="20"/>
    </w:rPr>
  </w:style>
  <w:style w:type="paragraph" w:customStyle="1" w:styleId="Tiu40">
    <w:name w:val="Tiêu đề #4"/>
    <w:basedOn w:val="Normal"/>
    <w:link w:val="Tiu4"/>
    <w:pPr>
      <w:spacing w:line="262" w:lineRule="auto"/>
      <w:outlineLvl w:val="3"/>
    </w:pPr>
    <w:rPr>
      <w:rFonts w:ascii="Tahoma" w:eastAsia="Tahoma" w:hAnsi="Tahoma" w:cs="Tahoma"/>
      <w:b/>
      <w:bCs/>
      <w:sz w:val="20"/>
      <w:szCs w:val="20"/>
    </w:rPr>
  </w:style>
  <w:style w:type="paragraph" w:customStyle="1" w:styleId="Tiu30">
    <w:name w:val="Tiêu đề #3"/>
    <w:basedOn w:val="Normal"/>
    <w:link w:val="Tiu3"/>
    <w:pPr>
      <w:spacing w:line="233" w:lineRule="auto"/>
      <w:jc w:val="center"/>
      <w:outlineLvl w:val="2"/>
    </w:pPr>
    <w:rPr>
      <w:rFonts w:ascii="Tahoma" w:eastAsia="Tahoma" w:hAnsi="Tahoma" w:cs="Tahoma"/>
      <w:sz w:val="22"/>
      <w:szCs w:val="22"/>
    </w:rPr>
  </w:style>
  <w:style w:type="paragraph" w:customStyle="1" w:styleId="Vnbnnidung20">
    <w:name w:val="Văn bản nội dung (2)"/>
    <w:basedOn w:val="Normal"/>
    <w:link w:val="Vnbnnidung2"/>
    <w:pPr>
      <w:spacing w:line="233" w:lineRule="auto"/>
    </w:pPr>
    <w:rPr>
      <w:rFonts w:ascii="Arial" w:eastAsia="Arial" w:hAnsi="Arial" w:cs="Arial"/>
      <w:sz w:val="8"/>
      <w:szCs w:val="8"/>
    </w:rPr>
  </w:style>
  <w:style w:type="paragraph" w:customStyle="1" w:styleId="Tiu10">
    <w:name w:val="Tiêu đề #1"/>
    <w:basedOn w:val="Normal"/>
    <w:link w:val="Tiu1"/>
    <w:pPr>
      <w:jc w:val="center"/>
      <w:outlineLvl w:val="0"/>
    </w:pPr>
    <w:rPr>
      <w:rFonts w:ascii="Tahoma" w:eastAsia="Tahoma" w:hAnsi="Tahoma" w:cs="Tahoma"/>
      <w:b/>
      <w:bCs/>
      <w:sz w:val="34"/>
      <w:szCs w:val="34"/>
    </w:rPr>
  </w:style>
  <w:style w:type="paragraph" w:customStyle="1" w:styleId="Tiu20">
    <w:name w:val="Tiêu đề #2"/>
    <w:basedOn w:val="Normal"/>
    <w:link w:val="Tiu2"/>
    <w:pPr>
      <w:spacing w:line="252" w:lineRule="auto"/>
      <w:outlineLvl w:val="1"/>
    </w:pPr>
    <w:rPr>
      <w:rFonts w:ascii="Tahoma" w:eastAsia="Tahoma" w:hAnsi="Tahoma" w:cs="Tahoma"/>
      <w:b/>
      <w:bCs/>
    </w:rPr>
  </w:style>
  <w:style w:type="paragraph" w:customStyle="1" w:styleId="Vnbnnidung40">
    <w:name w:val="Văn bản nội dung (4)"/>
    <w:basedOn w:val="Normal"/>
    <w:link w:val="Vnbnnidung4"/>
    <w:rPr>
      <w:rFonts w:ascii="Tahoma" w:eastAsia="Tahoma" w:hAnsi="Tahoma" w:cs="Tahoma"/>
      <w:b/>
      <w:bCs/>
      <w:i/>
      <w:iCs/>
      <w:sz w:val="18"/>
      <w:szCs w:val="18"/>
      <w:u w:val="single"/>
    </w:rPr>
  </w:style>
  <w:style w:type="paragraph" w:customStyle="1" w:styleId="Vnbnnidung30">
    <w:name w:val="Văn bản nội dung (3)"/>
    <w:basedOn w:val="Normal"/>
    <w:link w:val="Vnbnnidung3"/>
    <w:rPr>
      <w:rFonts w:ascii="Tahoma" w:eastAsia="Tahoma" w:hAnsi="Tahoma" w:cs="Tahoma"/>
      <w:i/>
      <w:iCs/>
      <w:sz w:val="15"/>
      <w:szCs w:val="15"/>
    </w:rPr>
  </w:style>
  <w:style w:type="paragraph" w:customStyle="1" w:styleId="Chthchbng0">
    <w:name w:val="Chú thích bảng"/>
    <w:basedOn w:val="Normal"/>
    <w:link w:val="Chthchbng"/>
    <w:rPr>
      <w:rFonts w:ascii="Tahoma" w:eastAsia="Tahoma" w:hAnsi="Tahoma" w:cs="Tahoma"/>
      <w:b/>
      <w:bCs/>
      <w:sz w:val="20"/>
      <w:szCs w:val="20"/>
    </w:rPr>
  </w:style>
  <w:style w:type="paragraph" w:customStyle="1" w:styleId="Khc0">
    <w:name w:val="Khác"/>
    <w:basedOn w:val="Normal"/>
    <w:link w:val="Khc"/>
    <w:pPr>
      <w:spacing w:line="262" w:lineRule="auto"/>
    </w:pPr>
    <w:rPr>
      <w:rFonts w:ascii="Tahoma" w:eastAsia="Tahoma" w:hAnsi="Tahoma" w:cs="Tahoma"/>
      <w:sz w:val="20"/>
      <w:szCs w:val="20"/>
    </w:rPr>
  </w:style>
  <w:style w:type="paragraph" w:styleId="ListParagraph">
    <w:name w:val="List Paragraph"/>
    <w:basedOn w:val="Normal"/>
    <w:uiPriority w:val="34"/>
    <w:qFormat/>
    <w:rsid w:val="00B0582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EOq2PS9GbDSSqmXMTsWeoY52wQ==">CgMxLjA4AHIhMU5NcWV3ZDhmalkza3RVQ3plT2h3QWt5WVhvcWlsUEtR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4</cp:revision>
  <dcterms:created xsi:type="dcterms:W3CDTF">2024-04-02T02:47:00Z</dcterms:created>
  <dcterms:modified xsi:type="dcterms:W3CDTF">2024-04-03T03:26:00Z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e7df603913f6c34502c6b0b83d03d7af79ff07f61a96e0e44e3f03a8247b824e</vt:lpwstr>
  </property>
</Properties>
</file>