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077E">
        <w:rPr>
          <w:rFonts w:ascii="Arial" w:hAnsi="Arial" w:cs="Arial"/>
          <w:b/>
          <w:color w:val="010000"/>
          <w:sz w:val="20"/>
        </w:rPr>
        <w:t>AMS: Explanation on the Financial Statements 2023</w:t>
      </w:r>
    </w:p>
    <w:p w14:paraId="00000002" w14:textId="39A34CE9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 xml:space="preserve">On April 3, 2024, AMECC Mechanical Construction Joint Stock Company announced Official Dispatch No. 60 /2024/CV-AMECC on explaining the fluctuation of more than 10% of profit after tax in 2023 compared to that </w:t>
      </w:r>
      <w:r w:rsidR="0009077E" w:rsidRPr="0009077E">
        <w:rPr>
          <w:rFonts w:ascii="Arial" w:hAnsi="Arial" w:cs="Arial"/>
          <w:color w:val="010000"/>
          <w:sz w:val="20"/>
        </w:rPr>
        <w:t>of</w:t>
      </w:r>
      <w:r w:rsidRPr="0009077E">
        <w:rPr>
          <w:rFonts w:ascii="Arial" w:hAnsi="Arial" w:cs="Arial"/>
          <w:color w:val="010000"/>
          <w:sz w:val="20"/>
        </w:rPr>
        <w:t xml:space="preserve"> 2022 as follows:</w:t>
      </w:r>
    </w:p>
    <w:p w14:paraId="00000003" w14:textId="213C83CB" w:rsidR="00905B6E" w:rsidRPr="0009077E" w:rsidRDefault="004206CC" w:rsidP="00090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 xml:space="preserve">Regarding </w:t>
      </w:r>
      <w:r w:rsidR="0009077E" w:rsidRPr="0009077E">
        <w:rPr>
          <w:rFonts w:ascii="Arial" w:hAnsi="Arial" w:cs="Arial"/>
          <w:color w:val="010000"/>
          <w:sz w:val="20"/>
        </w:rPr>
        <w:t xml:space="preserve">the </w:t>
      </w:r>
      <w:r w:rsidRPr="0009077E">
        <w:rPr>
          <w:rFonts w:ascii="Arial" w:hAnsi="Arial" w:cs="Arial"/>
          <w:color w:val="010000"/>
          <w:sz w:val="20"/>
        </w:rPr>
        <w:t>Combined Financial Statements: In 2023, AMECC Mechanical Construction Joint Stock Company profited VND 52,594,214,884, increas</w:t>
      </w:r>
      <w:r w:rsidR="0009077E" w:rsidRPr="0009077E">
        <w:rPr>
          <w:rFonts w:ascii="Arial" w:hAnsi="Arial" w:cs="Arial"/>
          <w:color w:val="010000"/>
          <w:sz w:val="20"/>
        </w:rPr>
        <w:t xml:space="preserve">ing by </w:t>
      </w:r>
      <w:r w:rsidRPr="0009077E">
        <w:rPr>
          <w:rFonts w:ascii="Arial" w:hAnsi="Arial" w:cs="Arial"/>
          <w:color w:val="010000"/>
          <w:sz w:val="20"/>
        </w:rPr>
        <w:t>VND 14,454,842,857, corresponding to an increase of 37.6% compared to 2022.</w:t>
      </w:r>
    </w:p>
    <w:p w14:paraId="00000004" w14:textId="77777777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>Reason:</w:t>
      </w:r>
    </w:p>
    <w:p w14:paraId="00000005" w14:textId="77777777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>There are two main reasons leading to the increase in profit after tax in 2023 compared to 2022, specifically as follows:</w:t>
      </w:r>
    </w:p>
    <w:p w14:paraId="00000006" w14:textId="7FF7BBE1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9077E">
        <w:rPr>
          <w:rFonts w:ascii="Arial" w:hAnsi="Arial" w:cs="Arial"/>
          <w:color w:val="010000"/>
          <w:sz w:val="20"/>
        </w:rPr>
        <w:t xml:space="preserve">Firstly: The audit company made retroactive adjustments according to the arbitration ruling in 2022, resulting in business results in 2022 being reduced to VND 38,439,372,027. </w:t>
      </w:r>
    </w:p>
    <w:p w14:paraId="00000007" w14:textId="4C464FEC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>Secondly: In 2023, the deferred corporate income tax expense target decreased by VND 7,417,071,989, leading to a corresponding increase in profit after tax in 2023.</w:t>
      </w:r>
    </w:p>
    <w:p w14:paraId="00000008" w14:textId="5F4AEBCC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 xml:space="preserve">Thus, although the profit </w:t>
      </w:r>
      <w:r w:rsidR="0009077E" w:rsidRPr="0009077E">
        <w:rPr>
          <w:rFonts w:ascii="Arial" w:hAnsi="Arial" w:cs="Arial"/>
          <w:color w:val="010000"/>
          <w:sz w:val="20"/>
        </w:rPr>
        <w:t xml:space="preserve">before tax </w:t>
      </w:r>
      <w:r w:rsidRPr="0009077E">
        <w:rPr>
          <w:rFonts w:ascii="Arial" w:hAnsi="Arial" w:cs="Arial"/>
          <w:color w:val="010000"/>
          <w:sz w:val="20"/>
        </w:rPr>
        <w:t xml:space="preserve">target in 2023 compared to 2022 only increased by 8.95%, the profit </w:t>
      </w:r>
      <w:r w:rsidR="0009077E" w:rsidRPr="0009077E">
        <w:rPr>
          <w:rFonts w:ascii="Arial" w:hAnsi="Arial" w:cs="Arial"/>
          <w:color w:val="010000"/>
          <w:sz w:val="20"/>
        </w:rPr>
        <w:t xml:space="preserve">after tax </w:t>
      </w:r>
      <w:r w:rsidRPr="0009077E">
        <w:rPr>
          <w:rFonts w:ascii="Arial" w:hAnsi="Arial" w:cs="Arial"/>
          <w:color w:val="010000"/>
          <w:sz w:val="20"/>
        </w:rPr>
        <w:t>in 2023 increased by 37.6% compared to 2022.</w:t>
      </w:r>
    </w:p>
    <w:p w14:paraId="00000009" w14:textId="0FBC025A" w:rsidR="00905B6E" w:rsidRPr="0009077E" w:rsidRDefault="004206CC" w:rsidP="00090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 xml:space="preserve">Regarding </w:t>
      </w:r>
      <w:r w:rsidR="0009077E" w:rsidRPr="0009077E">
        <w:rPr>
          <w:rFonts w:ascii="Arial" w:hAnsi="Arial" w:cs="Arial"/>
          <w:color w:val="010000"/>
          <w:sz w:val="20"/>
        </w:rPr>
        <w:t xml:space="preserve">the </w:t>
      </w:r>
      <w:r w:rsidRPr="0009077E">
        <w:rPr>
          <w:rFonts w:ascii="Arial" w:hAnsi="Arial" w:cs="Arial"/>
          <w:color w:val="010000"/>
          <w:sz w:val="20"/>
        </w:rPr>
        <w:t>Consolidated Financial Statements:</w:t>
      </w:r>
    </w:p>
    <w:p w14:paraId="0000000A" w14:textId="7D03ADF7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>In 2023, the consolidated business result profit</w:t>
      </w:r>
      <w:r w:rsidR="0009077E" w:rsidRPr="0009077E">
        <w:rPr>
          <w:rFonts w:ascii="Arial" w:hAnsi="Arial" w:cs="Arial"/>
          <w:color w:val="010000"/>
          <w:sz w:val="20"/>
        </w:rPr>
        <w:t xml:space="preserve">ed </w:t>
      </w:r>
      <w:r w:rsidRPr="0009077E">
        <w:rPr>
          <w:rFonts w:ascii="Arial" w:hAnsi="Arial" w:cs="Arial"/>
          <w:color w:val="010000"/>
          <w:sz w:val="20"/>
        </w:rPr>
        <w:t>VND 52,492,574,602, increas</w:t>
      </w:r>
      <w:r w:rsidR="0009077E" w:rsidRPr="0009077E">
        <w:rPr>
          <w:rFonts w:ascii="Arial" w:hAnsi="Arial" w:cs="Arial"/>
          <w:color w:val="010000"/>
          <w:sz w:val="20"/>
        </w:rPr>
        <w:t xml:space="preserve">ing by </w:t>
      </w:r>
      <w:r w:rsidRPr="0009077E">
        <w:rPr>
          <w:rFonts w:ascii="Arial" w:hAnsi="Arial" w:cs="Arial"/>
          <w:color w:val="010000"/>
          <w:sz w:val="20"/>
        </w:rPr>
        <w:t xml:space="preserve">VND 13,825,402,850, corresponding to an increase of 37.71% compared to </w:t>
      </w:r>
      <w:r w:rsidR="0009077E" w:rsidRPr="0009077E">
        <w:rPr>
          <w:rFonts w:ascii="Arial" w:hAnsi="Arial" w:cs="Arial"/>
          <w:color w:val="010000"/>
          <w:sz w:val="20"/>
        </w:rPr>
        <w:t xml:space="preserve">that of </w:t>
      </w:r>
      <w:r w:rsidRPr="0009077E">
        <w:rPr>
          <w:rFonts w:ascii="Arial" w:hAnsi="Arial" w:cs="Arial"/>
          <w:color w:val="010000"/>
          <w:sz w:val="20"/>
        </w:rPr>
        <w:t>2022.</w:t>
      </w:r>
    </w:p>
    <w:p w14:paraId="0000000B" w14:textId="77777777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>Reason:</w:t>
      </w:r>
    </w:p>
    <w:p w14:paraId="0000000C" w14:textId="491B926D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 xml:space="preserve">In Q4/2023, AMECC Myanmar Co., Ltd. has just resumed operations and is in the process of re-establishing its management system. There are no production or business activities yet, so the data on the Consolidated </w:t>
      </w:r>
      <w:r w:rsidR="0009077E" w:rsidRPr="0009077E">
        <w:rPr>
          <w:rFonts w:ascii="Arial" w:hAnsi="Arial" w:cs="Arial"/>
          <w:color w:val="010000"/>
          <w:sz w:val="20"/>
        </w:rPr>
        <w:t>Income Statement</w:t>
      </w:r>
      <w:r w:rsidRPr="0009077E">
        <w:rPr>
          <w:rFonts w:ascii="Arial" w:hAnsi="Arial" w:cs="Arial"/>
          <w:color w:val="010000"/>
          <w:sz w:val="20"/>
        </w:rPr>
        <w:t xml:space="preserve"> 2023 only reflected the business results of the </w:t>
      </w:r>
      <w:r w:rsidR="0009077E" w:rsidRPr="0009077E">
        <w:rPr>
          <w:rFonts w:ascii="Arial" w:hAnsi="Arial" w:cs="Arial"/>
          <w:color w:val="010000"/>
          <w:sz w:val="20"/>
        </w:rPr>
        <w:t>Holding Company</w:t>
      </w:r>
      <w:r w:rsidRPr="0009077E">
        <w:rPr>
          <w:rFonts w:ascii="Arial" w:hAnsi="Arial" w:cs="Arial"/>
          <w:color w:val="010000"/>
          <w:sz w:val="20"/>
        </w:rPr>
        <w:t>, AMECC Mechanical Construction Joint Stock Company.</w:t>
      </w:r>
    </w:p>
    <w:p w14:paraId="0000000D" w14:textId="0C6D1CA4" w:rsidR="00905B6E" w:rsidRPr="0009077E" w:rsidRDefault="004206CC" w:rsidP="000907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077E">
        <w:rPr>
          <w:rFonts w:ascii="Arial" w:hAnsi="Arial" w:cs="Arial"/>
          <w:color w:val="010000"/>
          <w:sz w:val="20"/>
        </w:rPr>
        <w:t xml:space="preserve">Therefore, the reasons leading to the increase in profit after tax of the </w:t>
      </w:r>
      <w:r w:rsidR="0009077E" w:rsidRPr="0009077E">
        <w:rPr>
          <w:rFonts w:ascii="Arial" w:hAnsi="Arial" w:cs="Arial"/>
          <w:color w:val="010000"/>
          <w:sz w:val="20"/>
        </w:rPr>
        <w:t xml:space="preserve">Holding Company </w:t>
      </w:r>
      <w:r w:rsidRPr="0009077E">
        <w:rPr>
          <w:rFonts w:ascii="Arial" w:hAnsi="Arial" w:cs="Arial"/>
          <w:color w:val="010000"/>
          <w:sz w:val="20"/>
        </w:rPr>
        <w:t xml:space="preserve">compared to the same period last year are also the reasons leading to the increase in profit at </w:t>
      </w:r>
      <w:r w:rsidR="0009077E" w:rsidRPr="0009077E">
        <w:rPr>
          <w:rFonts w:ascii="Arial" w:hAnsi="Arial" w:cs="Arial"/>
          <w:color w:val="010000"/>
          <w:sz w:val="20"/>
        </w:rPr>
        <w:t>the Consolidated Income Statement</w:t>
      </w:r>
      <w:r w:rsidRPr="0009077E">
        <w:rPr>
          <w:rFonts w:ascii="Arial" w:hAnsi="Arial" w:cs="Arial"/>
          <w:color w:val="010000"/>
          <w:sz w:val="20"/>
        </w:rPr>
        <w:t xml:space="preserve">. </w:t>
      </w:r>
      <w:bookmarkStart w:id="1" w:name="_GoBack"/>
      <w:bookmarkEnd w:id="1"/>
    </w:p>
    <w:sectPr w:rsidR="00905B6E" w:rsidRPr="0009077E" w:rsidSect="0033010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819FB"/>
    <w:multiLevelType w:val="multilevel"/>
    <w:tmpl w:val="CB6ECB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E"/>
    <w:rsid w:val="0009077E"/>
    <w:rsid w:val="00330103"/>
    <w:rsid w:val="004206CC"/>
    <w:rsid w:val="00905B6E"/>
    <w:rsid w:val="00A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96CF6"/>
  <w15:docId w15:val="{6356C2E6-46EC-4B01-8571-A21DFD3B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1113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color w:val="0F1113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+aqklDQFvvLKGAx6yWq8IgoZiw==">CgMxLjAyCGguZ2pkZ3hzOAByITFpOGFfLUhqVV92R0xxQlNtcGRlYU9QYkpBWDlTbklwSA==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1639</Characters>
  <Application>Microsoft Office Word</Application>
  <DocSecurity>0</DocSecurity>
  <Lines>27</Lines>
  <Paragraphs>13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2024-04-05T04:19:00Z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40314019d2ecc43c11a78511fb85d223fe741c881298f94e34222bbb60f4b98e</vt:lpwstr>
  </property>
</Properties>
</file>