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89B0D" w14:textId="77777777" w:rsidR="00A2637B" w:rsidRPr="0021045D" w:rsidRDefault="00AF0279" w:rsidP="0021045D">
      <w:pPr>
        <w:pBdr>
          <w:top w:val="nil"/>
          <w:left w:val="nil"/>
          <w:bottom w:val="nil"/>
          <w:right w:val="nil"/>
          <w:between w:val="nil"/>
        </w:pBdr>
        <w:tabs>
          <w:tab w:val="left" w:pos="537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1045D">
        <w:rPr>
          <w:rFonts w:ascii="Arial" w:hAnsi="Arial" w:cs="Arial"/>
          <w:b/>
          <w:color w:val="010000"/>
          <w:sz w:val="20"/>
          <w:szCs w:val="20"/>
        </w:rPr>
        <w:t>CDP: Explanation related to the Financial Statements 2023</w:t>
      </w:r>
    </w:p>
    <w:p w14:paraId="6370ED8E" w14:textId="7EA9F30A" w:rsidR="00A2637B" w:rsidRPr="0021045D" w:rsidRDefault="00AF0279" w:rsidP="002104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 xml:space="preserve">On March 28, 2024, </w:t>
      </w:r>
      <w:proofErr w:type="spellStart"/>
      <w:r w:rsidRPr="0021045D">
        <w:rPr>
          <w:rFonts w:ascii="Arial" w:hAnsi="Arial" w:cs="Arial"/>
          <w:color w:val="010000"/>
          <w:sz w:val="20"/>
          <w:szCs w:val="20"/>
        </w:rPr>
        <w:t>Codupha</w:t>
      </w:r>
      <w:proofErr w:type="spellEnd"/>
      <w:r w:rsidRPr="0021045D">
        <w:rPr>
          <w:rFonts w:ascii="Arial" w:hAnsi="Arial" w:cs="Arial"/>
          <w:color w:val="010000"/>
          <w:sz w:val="20"/>
          <w:szCs w:val="20"/>
        </w:rPr>
        <w:t xml:space="preserve"> Central Pharmaceutical Joint Stock Company announced Official Dispatch No. 343/CDP-2024 explaining the difference in profit after tax in 2023 compared to the same period after the issuance of the Auditor’s Report as follows: </w:t>
      </w:r>
    </w:p>
    <w:p w14:paraId="7E564463" w14:textId="77777777" w:rsidR="00A2637B" w:rsidRPr="0021045D" w:rsidRDefault="00AF0279" w:rsidP="00210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Combined and Consolidated Income Statement 2023:</w:t>
      </w:r>
    </w:p>
    <w:p w14:paraId="4E8A8812" w14:textId="77777777" w:rsidR="00A2637B" w:rsidRPr="0021045D" w:rsidRDefault="00AF0279" w:rsidP="0021045D">
      <w:pPr>
        <w:pBdr>
          <w:top w:val="nil"/>
          <w:left w:val="nil"/>
          <w:bottom w:val="nil"/>
          <w:right w:val="nil"/>
          <w:between w:val="nil"/>
        </w:pBdr>
        <w:tabs>
          <w:tab w:val="left" w:pos="9835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21045D">
        <w:rPr>
          <w:rFonts w:ascii="Arial" w:hAnsi="Arial" w:cs="Arial"/>
          <w:i/>
          <w:color w:val="010000"/>
          <w:sz w:val="20"/>
          <w:szCs w:val="20"/>
        </w:rPr>
        <w:t xml:space="preserve">Unit: Million VND 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32"/>
        <w:gridCol w:w="1844"/>
        <w:gridCol w:w="1177"/>
        <w:gridCol w:w="1177"/>
        <w:gridCol w:w="1177"/>
        <w:gridCol w:w="1655"/>
        <w:gridCol w:w="1655"/>
      </w:tblGrid>
      <w:tr w:rsidR="00A2637B" w:rsidRPr="0021045D" w14:paraId="299B2AAD" w14:textId="77777777" w:rsidTr="00AF0279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2E8FD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3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11292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318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22AA8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Combined Financial Statements</w:t>
            </w:r>
          </w:p>
        </w:tc>
      </w:tr>
      <w:tr w:rsidR="00A2637B" w:rsidRPr="0021045D" w14:paraId="1A790026" w14:textId="77777777" w:rsidTr="00AF0279"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0F8CD" w14:textId="77777777" w:rsidR="00A2637B" w:rsidRPr="0021045D" w:rsidRDefault="00A2637B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5B507" w14:textId="77777777" w:rsidR="00A2637B" w:rsidRPr="0021045D" w:rsidRDefault="00A2637B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E9E3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Accumulated 2023 (Internal Financial Statements)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97C0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Accumulated 2023 (Audited Financial Statements)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8DC2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Accumulated 2022 (Audited Financial Statements)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2D7C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Rate of increase/decrease before and after audit (%)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CC0B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Rate of increase/decrease in the same period of the year after audit</w:t>
            </w:r>
          </w:p>
        </w:tc>
      </w:tr>
      <w:tr w:rsidR="00A2637B" w:rsidRPr="0021045D" w14:paraId="2CE70F65" w14:textId="77777777" w:rsidTr="00AF0279"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76DF9" w14:textId="77777777" w:rsidR="00A2637B" w:rsidRPr="0021045D" w:rsidRDefault="00A2637B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2BDD3" w14:textId="77777777" w:rsidR="00A2637B" w:rsidRPr="0021045D" w:rsidRDefault="00A2637B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935B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ECD8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F8D4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BE9CF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4=(2-1)/1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57E3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5 = (2-3)/3</w:t>
            </w:r>
          </w:p>
        </w:tc>
      </w:tr>
      <w:tr w:rsidR="00A2637B" w:rsidRPr="0021045D" w14:paraId="2B4B708E" w14:textId="77777777" w:rsidTr="00AF0279">
        <w:tc>
          <w:tcPr>
            <w:tcW w:w="4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6574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E2FF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Net revenue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38215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3,030,101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2279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3,030,101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4812D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3,022,923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C683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73A7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0.24%</w:t>
            </w:r>
          </w:p>
        </w:tc>
      </w:tr>
      <w:tr w:rsidR="00A2637B" w:rsidRPr="0021045D" w14:paraId="6A188B21" w14:textId="77777777" w:rsidTr="00AF0279">
        <w:tc>
          <w:tcPr>
            <w:tcW w:w="4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9B255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B29F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Cost of goods sold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4CBD5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2,821,451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C769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2,821,451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E018D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2,819,113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E6CB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E8BD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0.08%</w:t>
            </w:r>
          </w:p>
        </w:tc>
      </w:tr>
      <w:tr w:rsidR="00A2637B" w:rsidRPr="0021045D" w14:paraId="6D3AC575" w14:textId="77777777" w:rsidTr="00AF0279">
        <w:tc>
          <w:tcPr>
            <w:tcW w:w="4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E55C4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D25CF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Gross profit from goods sales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0355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208,649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C0F58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208,649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585A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203,810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513B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10D6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2.37%</w:t>
            </w:r>
          </w:p>
        </w:tc>
      </w:tr>
      <w:tr w:rsidR="00A2637B" w:rsidRPr="0021045D" w14:paraId="02B0CF33" w14:textId="77777777" w:rsidTr="00AF0279">
        <w:tc>
          <w:tcPr>
            <w:tcW w:w="4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6127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E331F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Revenue from financial activities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BFD5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37,379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2AB4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37,436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09C6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33,326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BFEE4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0.15%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E5FDF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12.33%</w:t>
            </w:r>
          </w:p>
        </w:tc>
      </w:tr>
      <w:tr w:rsidR="00A2637B" w:rsidRPr="0021045D" w14:paraId="4ED498FD" w14:textId="77777777" w:rsidTr="00AF0279">
        <w:tc>
          <w:tcPr>
            <w:tcW w:w="4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97B3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7F254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Total expenses (finance (635) + selling expense (641) + management expenses (642))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83DBC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226,675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51822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228,352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BAB1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208,869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F69EC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0.74%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F510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9.33%</w:t>
            </w:r>
          </w:p>
        </w:tc>
      </w:tr>
      <w:tr w:rsidR="00A2637B" w:rsidRPr="0021045D" w14:paraId="6C1DCF50" w14:textId="77777777" w:rsidTr="00AF0279">
        <w:tc>
          <w:tcPr>
            <w:tcW w:w="4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E102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DA33F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C78E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17,309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65D8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15,689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DEAD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28,383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61C4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-9.36%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8C80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-44.72%</w:t>
            </w:r>
          </w:p>
        </w:tc>
      </w:tr>
      <w:tr w:rsidR="00A2637B" w:rsidRPr="0021045D" w14:paraId="38AFCC0B" w14:textId="77777777" w:rsidTr="00AF0279">
        <w:tc>
          <w:tcPr>
            <w:tcW w:w="4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7210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BECA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Current corporate income tax</w:t>
            </w:r>
          </w:p>
          <w:p w14:paraId="6AA1AE75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(20%)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EB3EA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3,957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90A0C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4,703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359BA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5,749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63FEF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18.85%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FAE54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-18.19%</w:t>
            </w:r>
          </w:p>
        </w:tc>
      </w:tr>
      <w:tr w:rsidR="00A2637B" w:rsidRPr="0021045D" w14:paraId="796A25D5" w14:textId="77777777" w:rsidTr="00AF0279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3A1D4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42812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  <w:p w14:paraId="6411FD26" w14:textId="77777777" w:rsidR="00A2637B" w:rsidRPr="0021045D" w:rsidRDefault="00A2637B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9870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13,352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CEFED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10,986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D4AA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22,634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52C8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-17.72%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909D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-51.46%</w:t>
            </w:r>
          </w:p>
        </w:tc>
      </w:tr>
    </w:tbl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332"/>
        <w:gridCol w:w="1844"/>
        <w:gridCol w:w="1177"/>
        <w:gridCol w:w="1177"/>
        <w:gridCol w:w="1177"/>
        <w:gridCol w:w="1655"/>
        <w:gridCol w:w="1655"/>
      </w:tblGrid>
      <w:tr w:rsidR="00A2637B" w:rsidRPr="0021045D" w14:paraId="7E5ADA2E" w14:textId="77777777" w:rsidTr="00AF0279"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6284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0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3047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379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FA57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Consolidated business results</w:t>
            </w:r>
          </w:p>
        </w:tc>
      </w:tr>
      <w:tr w:rsidR="00A2637B" w:rsidRPr="0021045D" w14:paraId="645E5CA1" w14:textId="77777777" w:rsidTr="00AF0279"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119C2" w14:textId="77777777" w:rsidR="00A2637B" w:rsidRPr="0021045D" w:rsidRDefault="00A2637B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61BD7" w14:textId="77777777" w:rsidR="00A2637B" w:rsidRPr="0021045D" w:rsidRDefault="00A2637B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6E465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 xml:space="preserve">Accumulated </w:t>
            </w: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2023 (Internal Financial Statements)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4AFA2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Accumulated </w:t>
            </w: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2023 (Audited Financial Statements)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2DBD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Accumulated </w:t>
            </w: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2022 (Audited Financial Statements)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919B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Rate of </w:t>
            </w: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increase/decrease before and after audit (%)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CE51C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Rate of </w:t>
            </w: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increase/decrease in the same period of the year after audit</w:t>
            </w:r>
          </w:p>
        </w:tc>
      </w:tr>
      <w:tr w:rsidR="00A2637B" w:rsidRPr="0021045D" w14:paraId="4CF779FF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47730" w14:textId="77777777" w:rsidR="00A2637B" w:rsidRPr="0021045D" w:rsidRDefault="00A2637B" w:rsidP="0021045D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D3918" w14:textId="77777777" w:rsidR="00A2637B" w:rsidRPr="0021045D" w:rsidRDefault="00A2637B" w:rsidP="0021045D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3FA3A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358DD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4EF4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D2EB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4=(2-1)/1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6293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5 = (2-3)/3</w:t>
            </w:r>
          </w:p>
        </w:tc>
      </w:tr>
      <w:tr w:rsidR="00A2637B" w:rsidRPr="0021045D" w14:paraId="49FE5839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FF7C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0E2A8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Net revenue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439AC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3,066,402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5520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3,064,030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8A884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3,045,915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59EDA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-0.08%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BF54C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0.59%</w:t>
            </w:r>
          </w:p>
        </w:tc>
      </w:tr>
      <w:tr w:rsidR="00A2637B" w:rsidRPr="0021045D" w14:paraId="5B70F447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B66F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9C68F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Cost of goods sold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3119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2,856,282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6F68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2,854,066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C214A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2,835,083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5C69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-0.08%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1276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0.67%</w:t>
            </w:r>
          </w:p>
        </w:tc>
      </w:tr>
      <w:tr w:rsidR="00A2637B" w:rsidRPr="0021045D" w14:paraId="07A1633F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8368A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1117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Gross profit from goods sales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6F69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210,121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DDC5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209,863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AA9E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210,832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4FAE2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-0.12%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95C2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-0.46%</w:t>
            </w:r>
          </w:p>
        </w:tc>
      </w:tr>
      <w:tr w:rsidR="00A2637B" w:rsidRPr="0021045D" w14:paraId="47B2A0BF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90CE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0C96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Revenue from financial activities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BDD0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37,379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9F54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37,436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3B268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33,326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0252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0.15%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E669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12.33%</w:t>
            </w:r>
          </w:p>
        </w:tc>
      </w:tr>
      <w:tr w:rsidR="00A2637B" w:rsidRPr="0021045D" w14:paraId="374D7B84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D9CD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6118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Total expenses (finance (635) + selling expense (641) + management expenses (642))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B882A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224,293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3937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231,464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D1EC3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215,310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1F348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3.20%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F0632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7.50%</w:t>
            </w:r>
          </w:p>
        </w:tc>
      </w:tr>
      <w:tr w:rsidR="00A2637B" w:rsidRPr="0021045D" w14:paraId="0168375D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83824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E97F8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8C53C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21,211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354D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13,892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B290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28,913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1D8B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-34.51%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3E940" w14:textId="58DDCEB4" w:rsidR="00A2637B" w:rsidRPr="0021045D" w:rsidRDefault="0021045D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  <w:r w:rsidR="00AF0279" w:rsidRPr="0021045D">
              <w:rPr>
                <w:rFonts w:ascii="Arial" w:hAnsi="Arial" w:cs="Arial"/>
                <w:color w:val="010000"/>
                <w:sz w:val="20"/>
                <w:szCs w:val="20"/>
              </w:rPr>
              <w:t>51.95%</w:t>
            </w:r>
          </w:p>
        </w:tc>
      </w:tr>
      <w:tr w:rsidR="00A2637B" w:rsidRPr="0021045D" w14:paraId="5169EADB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088AF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86741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Current corporate income tax</w:t>
            </w:r>
          </w:p>
          <w:p w14:paraId="1E0E3179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(20%)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CACC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3,957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CFC27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4,703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21DF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5,759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35BC0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18.85%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3AD3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-18.34%</w:t>
            </w:r>
          </w:p>
        </w:tc>
      </w:tr>
      <w:tr w:rsidR="00A2637B" w:rsidRPr="0021045D" w14:paraId="6CCDB337" w14:textId="77777777" w:rsidTr="00AF0279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3AA6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CF8E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57455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17,254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CC68E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9,189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A2216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23,154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A5A12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-46.74%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E213B" w14:textId="77777777" w:rsidR="00A2637B" w:rsidRPr="0021045D" w:rsidRDefault="00AF0279" w:rsidP="002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1045D">
              <w:rPr>
                <w:rFonts w:ascii="Arial" w:hAnsi="Arial" w:cs="Arial"/>
                <w:color w:val="010000"/>
                <w:sz w:val="20"/>
                <w:szCs w:val="20"/>
              </w:rPr>
              <w:t>-60.31%</w:t>
            </w:r>
          </w:p>
        </w:tc>
      </w:tr>
    </w:tbl>
    <w:p w14:paraId="2A613C91" w14:textId="77777777" w:rsidR="00A2637B" w:rsidRPr="0021045D" w:rsidRDefault="00AF0279" w:rsidP="00210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Reason:</w:t>
      </w:r>
    </w:p>
    <w:p w14:paraId="6F5D5C9E" w14:textId="77777777" w:rsidR="00A2637B" w:rsidRPr="0021045D" w:rsidRDefault="00AF0279" w:rsidP="00210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Decrease in profit before tax:</w:t>
      </w:r>
    </w:p>
    <w:p w14:paraId="6BB70059" w14:textId="2E17A24D" w:rsidR="00A2637B" w:rsidRPr="0021045D" w:rsidRDefault="00AF0279" w:rsidP="00210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Comparing the Audited Financial Statements with the Internal Financial Statements of the Combined and Consolidated Financial Statements 2023, the profit before tax decreases from 9.36% to 34.51% due to extra deduction of 13th-month salary for employees, provision for overdue debts</w:t>
      </w:r>
      <w:r w:rsidR="0087761B">
        <w:rPr>
          <w:rFonts w:ascii="Arial" w:hAnsi="Arial" w:cs="Arial"/>
          <w:color w:val="010000"/>
          <w:sz w:val="20"/>
          <w:szCs w:val="20"/>
        </w:rPr>
        <w:t>,</w:t>
      </w:r>
      <w:bookmarkStart w:id="0" w:name="_GoBack"/>
      <w:bookmarkEnd w:id="0"/>
      <w:r w:rsidRPr="0021045D">
        <w:rPr>
          <w:rFonts w:ascii="Arial" w:hAnsi="Arial" w:cs="Arial"/>
          <w:color w:val="010000"/>
          <w:sz w:val="20"/>
          <w:szCs w:val="20"/>
        </w:rPr>
        <w:t xml:space="preserve"> and provision for investment in Laos affecting the profit before tax to decrease compared to the Internal Financial Statements.</w:t>
      </w:r>
    </w:p>
    <w:p w14:paraId="66954659" w14:textId="1E7CC571" w:rsidR="00A2637B" w:rsidRPr="0021045D" w:rsidRDefault="00AF0279" w:rsidP="00210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Comparing the Audited Financial Statements 2023 with the Audited Financial Statements 2022 of the Combined and Consolidated Financial Statements 2023, the profit before tax decreases from 44.72% to 51.95% due to increased financial expenses, extra deduction of 13th-month salary for employees, provision for overdue debts and provision for investment in Laos affecting the profit before tax to decrease compared to the same period in 2022.</w:t>
      </w:r>
    </w:p>
    <w:p w14:paraId="07B8B374" w14:textId="77777777" w:rsidR="00A2637B" w:rsidRPr="0021045D" w:rsidRDefault="00AF0279" w:rsidP="00210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Increase/decrease in current corporate income tax payable:</w:t>
      </w:r>
    </w:p>
    <w:p w14:paraId="53C92AED" w14:textId="77777777" w:rsidR="00A2637B" w:rsidRPr="0021045D" w:rsidRDefault="00AF0279" w:rsidP="00210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lastRenderedPageBreak/>
        <w:t>Comparing the Audited Financial Statements with the Internal Financial Statements of the Combined and Consolidated Financial Statements 2023, the current corporate income tax payable increases by 18.85% due to provision for overseas investments subject to corporate income tax, Thus, it increases compared to the Internal Financial Statements.</w:t>
      </w:r>
    </w:p>
    <w:p w14:paraId="6780B25E" w14:textId="77777777" w:rsidR="00A2637B" w:rsidRPr="0021045D" w:rsidRDefault="00AF0279" w:rsidP="00210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Comparing the Audited Financial Statements 2023 with the Audited Financial Statements 2022 of the Combined and Consolidated Financial Statements 2023, the current corporate income tax payable decreases from 18.19% to 18.34% due to a decrease in profit before tax. Thus, the corporate income tax payable decreases compared to the same period in 2022.</w:t>
      </w:r>
    </w:p>
    <w:p w14:paraId="4F47AC0B" w14:textId="77777777" w:rsidR="00A2637B" w:rsidRPr="0021045D" w:rsidRDefault="00AF0279" w:rsidP="00210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Decrease in profit after tax:</w:t>
      </w:r>
    </w:p>
    <w:p w14:paraId="0BA0116B" w14:textId="77777777" w:rsidR="00A2637B" w:rsidRPr="0021045D" w:rsidRDefault="00AF0279" w:rsidP="00210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Comparing the Audited Financial Statements with the Internal Financial Statements of the Combined and Consolidated Financial Statements 2023, profit after tax decreases from 17.72% to 46.72% due to a decrease in profit before tax and an increase in current corporate income tax affecting the profit after tax compared to the Internal Financial Statements.</w:t>
      </w:r>
    </w:p>
    <w:p w14:paraId="16C8ED2C" w14:textId="77777777" w:rsidR="00A2637B" w:rsidRPr="0021045D" w:rsidRDefault="00AF0279" w:rsidP="00210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045D">
        <w:rPr>
          <w:rFonts w:ascii="Arial" w:hAnsi="Arial" w:cs="Arial"/>
          <w:color w:val="010000"/>
          <w:sz w:val="20"/>
          <w:szCs w:val="20"/>
        </w:rPr>
        <w:t>Comparing the Audited Financial Statements 2023 with the Audited Financial Statements 2022 of the Combined and Consolidated Financial Statements 2023, the current corporate income tax decreases from 51.46% to 60.31% due to a decrease in profit before tax in 2023 affecting the profit after tax compared to the same period in 2022.</w:t>
      </w:r>
    </w:p>
    <w:sectPr w:rsidR="00A2637B" w:rsidRPr="0021045D" w:rsidSect="00AF027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45D9C"/>
    <w:multiLevelType w:val="multilevel"/>
    <w:tmpl w:val="F41C64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ED01BA"/>
    <w:multiLevelType w:val="multilevel"/>
    <w:tmpl w:val="56CEB444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B87"/>
    <w:multiLevelType w:val="multilevel"/>
    <w:tmpl w:val="B96A85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7B"/>
    <w:rsid w:val="0021045D"/>
    <w:rsid w:val="0087761B"/>
    <w:rsid w:val="00A2637B"/>
    <w:rsid w:val="00A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64CAD"/>
  <w15:docId w15:val="{908BC3EB-0ED1-40A1-9815-B1592B8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ind w:left="156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pPr>
      <w:spacing w:line="298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1rlj4hxDVQPs9xyuOSpFQQUhg==">CgMxLjAyCGguZ2pkZ3hzOAByITF4c2lJMUVZZTl4VEN4QkU4Wl9BSWlFaXdnd09jZ0VLbQ==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3881</Characters>
  <Application>Microsoft Office Word</Application>
  <DocSecurity>0</DocSecurity>
  <Lines>239</Lines>
  <Paragraphs>154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2024-04-04T04:12:00Z</dcterms:created>
  <dcterms:modified xsi:type="dcterms:W3CDTF">2024-04-05T04:31:00Z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586c1e90665fd6f7ef2aaf3c862b2db1af8717a09e911df53e89243698a036fc</vt:lpwstr>
  </property>
</Properties>
</file>