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59E6"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B139B">
        <w:rPr>
          <w:rFonts w:ascii="Arial" w:hAnsi="Arial" w:cs="Arial"/>
          <w:b/>
          <w:bCs/>
          <w:color w:val="010000"/>
          <w:sz w:val="20"/>
          <w:szCs w:val="20"/>
        </w:rPr>
        <w:t>VBB122033:</w:t>
      </w:r>
      <w:r w:rsidRPr="000B139B">
        <w:rPr>
          <w:rFonts w:ascii="Arial" w:hAnsi="Arial" w:cs="Arial"/>
          <w:b/>
          <w:color w:val="010000"/>
          <w:sz w:val="20"/>
          <w:szCs w:val="20"/>
        </w:rPr>
        <w:t xml:space="preserve"> Report on the results of the public offering of bonds (Round 3)</w:t>
      </w:r>
    </w:p>
    <w:p w14:paraId="4ACEB02C" w14:textId="5BC64136"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On April 3, 2024, Viet Nam </w:t>
      </w:r>
      <w:proofErr w:type="spellStart"/>
      <w:r w:rsidRPr="000B139B">
        <w:rPr>
          <w:rFonts w:ascii="Arial" w:hAnsi="Arial" w:cs="Arial"/>
          <w:color w:val="010000"/>
          <w:sz w:val="20"/>
          <w:szCs w:val="20"/>
        </w:rPr>
        <w:t>Thuong</w:t>
      </w:r>
      <w:proofErr w:type="spellEnd"/>
      <w:r w:rsidRPr="000B139B">
        <w:rPr>
          <w:rFonts w:ascii="Arial" w:hAnsi="Arial" w:cs="Arial"/>
          <w:color w:val="010000"/>
          <w:sz w:val="20"/>
          <w:szCs w:val="20"/>
        </w:rPr>
        <w:t xml:space="preserve"> Tin Commercial Joint Stock Bank announced Report No. 1292/2024/CV-TGD on the results of the </w:t>
      </w:r>
      <w:r w:rsidR="004C5299" w:rsidRPr="000B139B">
        <w:rPr>
          <w:rFonts w:ascii="Arial" w:hAnsi="Arial" w:cs="Arial"/>
          <w:color w:val="010000"/>
          <w:sz w:val="20"/>
          <w:szCs w:val="20"/>
        </w:rPr>
        <w:t>public</w:t>
      </w:r>
      <w:r w:rsidRPr="000B139B">
        <w:rPr>
          <w:rFonts w:ascii="Arial" w:hAnsi="Arial" w:cs="Arial"/>
          <w:color w:val="010000"/>
          <w:sz w:val="20"/>
          <w:szCs w:val="20"/>
        </w:rPr>
        <w:t xml:space="preserve"> offering </w:t>
      </w:r>
      <w:r w:rsidR="004C5299" w:rsidRPr="000B139B">
        <w:rPr>
          <w:rFonts w:ascii="Arial" w:hAnsi="Arial" w:cs="Arial"/>
          <w:color w:val="010000"/>
          <w:sz w:val="20"/>
          <w:szCs w:val="20"/>
        </w:rPr>
        <w:t xml:space="preserve">of bonds </w:t>
      </w:r>
      <w:r w:rsidRPr="000B139B">
        <w:rPr>
          <w:rFonts w:ascii="Arial" w:hAnsi="Arial" w:cs="Arial"/>
          <w:color w:val="010000"/>
          <w:sz w:val="20"/>
          <w:szCs w:val="20"/>
        </w:rPr>
        <w:t>as follows:</w:t>
      </w:r>
    </w:p>
    <w:p w14:paraId="76496172" w14:textId="77777777" w:rsidR="00C45F11" w:rsidRPr="000B139B" w:rsidRDefault="00DC4CF7" w:rsidP="000B139B">
      <w:pPr>
        <w:keepNext/>
        <w:numPr>
          <w:ilvl w:val="0"/>
          <w:numId w:val="5"/>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Offering plan</w:t>
      </w:r>
    </w:p>
    <w:p w14:paraId="782C4DF8" w14:textId="028EF091" w:rsidR="00C45F11" w:rsidRPr="000B139B" w:rsidRDefault="00DC4CF7" w:rsidP="000B139B">
      <w:pPr>
        <w:numPr>
          <w:ilvl w:val="0"/>
          <w:numId w:val="6"/>
        </w:numPr>
        <w:pBdr>
          <w:top w:val="nil"/>
          <w:left w:val="nil"/>
          <w:bottom w:val="nil"/>
          <w:right w:val="nil"/>
          <w:between w:val="nil"/>
        </w:pBdr>
        <w:tabs>
          <w:tab w:val="left" w:pos="322"/>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Bond name: Bonds </w:t>
      </w:r>
      <w:r w:rsidR="004C5299" w:rsidRPr="000B139B">
        <w:rPr>
          <w:rFonts w:ascii="Arial" w:hAnsi="Arial" w:cs="Arial"/>
          <w:color w:val="010000"/>
          <w:sz w:val="20"/>
          <w:szCs w:val="20"/>
        </w:rPr>
        <w:t xml:space="preserve">from the public offering </w:t>
      </w:r>
      <w:r w:rsidRPr="000B139B">
        <w:rPr>
          <w:rFonts w:ascii="Arial" w:hAnsi="Arial" w:cs="Arial"/>
          <w:color w:val="010000"/>
          <w:sz w:val="20"/>
          <w:szCs w:val="20"/>
        </w:rPr>
        <w:t xml:space="preserve">of Viet Nam </w:t>
      </w:r>
      <w:proofErr w:type="spellStart"/>
      <w:r w:rsidRPr="000B139B">
        <w:rPr>
          <w:rFonts w:ascii="Arial" w:hAnsi="Arial" w:cs="Arial"/>
          <w:color w:val="010000"/>
          <w:sz w:val="20"/>
          <w:szCs w:val="20"/>
        </w:rPr>
        <w:t>Thuong</w:t>
      </w:r>
      <w:proofErr w:type="spellEnd"/>
      <w:r w:rsidRPr="000B139B">
        <w:rPr>
          <w:rFonts w:ascii="Arial" w:hAnsi="Arial" w:cs="Arial"/>
          <w:color w:val="010000"/>
          <w:sz w:val="20"/>
          <w:szCs w:val="20"/>
        </w:rPr>
        <w:t xml:space="preserve"> Tin Commercial Joint Stock Bank in 2022 (Round 3)</w:t>
      </w:r>
    </w:p>
    <w:p w14:paraId="56B8112A" w14:textId="77777777" w:rsidR="00C45F11" w:rsidRPr="000B139B" w:rsidRDefault="00DC4CF7" w:rsidP="000B139B">
      <w:pPr>
        <w:numPr>
          <w:ilvl w:val="0"/>
          <w:numId w:val="6"/>
        </w:numPr>
        <w:pBdr>
          <w:top w:val="nil"/>
          <w:left w:val="nil"/>
          <w:bottom w:val="nil"/>
          <w:right w:val="nil"/>
          <w:between w:val="nil"/>
        </w:pBdr>
        <w:tabs>
          <w:tab w:val="left" w:pos="337"/>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Bond type: Non-convertible bonds, not accompanied by warrants and not secured by assets and satisfy the conditions to be included in </w:t>
      </w:r>
      <w:proofErr w:type="spellStart"/>
      <w:r w:rsidRPr="000B139B">
        <w:rPr>
          <w:rFonts w:ascii="Arial" w:hAnsi="Arial" w:cs="Arial"/>
          <w:color w:val="010000"/>
          <w:sz w:val="20"/>
          <w:szCs w:val="20"/>
        </w:rPr>
        <w:t>VietBank's</w:t>
      </w:r>
      <w:proofErr w:type="spellEnd"/>
      <w:r w:rsidRPr="000B139B">
        <w:rPr>
          <w:rFonts w:ascii="Arial" w:hAnsi="Arial" w:cs="Arial"/>
          <w:color w:val="010000"/>
          <w:sz w:val="20"/>
          <w:szCs w:val="20"/>
        </w:rPr>
        <w:t xml:space="preserve"> tier 2 capital according to current regulations.</w:t>
      </w:r>
    </w:p>
    <w:p w14:paraId="6E774BA7" w14:textId="7972F83B" w:rsidR="00C45F11" w:rsidRPr="000B139B" w:rsidRDefault="00DC4CF7" w:rsidP="000B139B">
      <w:pPr>
        <w:numPr>
          <w:ilvl w:val="0"/>
          <w:numId w:val="6"/>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Bond code: </w:t>
      </w:r>
      <w:r w:rsidR="004C5299" w:rsidRPr="000B139B">
        <w:rPr>
          <w:rFonts w:ascii="Arial" w:hAnsi="Arial" w:cs="Arial"/>
          <w:color w:val="010000"/>
          <w:sz w:val="20"/>
          <w:szCs w:val="20"/>
        </w:rPr>
        <w:t>Shall</w:t>
      </w:r>
      <w:r w:rsidRPr="000B139B">
        <w:rPr>
          <w:rFonts w:ascii="Arial" w:hAnsi="Arial" w:cs="Arial"/>
          <w:color w:val="010000"/>
          <w:sz w:val="20"/>
          <w:szCs w:val="20"/>
        </w:rPr>
        <w:t xml:space="preserve"> be granted by Vietnam Securities Depository and Clearing Corporation (VSDC) in accordance with current regulations after </w:t>
      </w:r>
      <w:proofErr w:type="spellStart"/>
      <w:r w:rsidRPr="000B139B">
        <w:rPr>
          <w:rFonts w:ascii="Arial" w:hAnsi="Arial" w:cs="Arial"/>
          <w:color w:val="010000"/>
          <w:sz w:val="20"/>
          <w:szCs w:val="20"/>
        </w:rPr>
        <w:t>VietBank</w:t>
      </w:r>
      <w:proofErr w:type="spellEnd"/>
      <w:r w:rsidRPr="000B139B">
        <w:rPr>
          <w:rFonts w:ascii="Arial" w:hAnsi="Arial" w:cs="Arial"/>
          <w:color w:val="010000"/>
          <w:sz w:val="20"/>
          <w:szCs w:val="20"/>
        </w:rPr>
        <w:t xml:space="preserve"> completes the offering and carries out registration and depository procedures at VSDC.</w:t>
      </w:r>
    </w:p>
    <w:p w14:paraId="719E25E0" w14:textId="77777777" w:rsidR="00C45F11" w:rsidRPr="000B139B" w:rsidRDefault="00DC4CF7" w:rsidP="000B139B">
      <w:pPr>
        <w:numPr>
          <w:ilvl w:val="0"/>
          <w:numId w:val="6"/>
        </w:numPr>
        <w:pBdr>
          <w:top w:val="nil"/>
          <w:left w:val="nil"/>
          <w:bottom w:val="nil"/>
          <w:right w:val="nil"/>
          <w:between w:val="nil"/>
        </w:pBdr>
        <w:tabs>
          <w:tab w:val="left" w:pos="337"/>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Bond par value: VND 10,000,000/bond </w:t>
      </w:r>
    </w:p>
    <w:p w14:paraId="5B1FE4E8" w14:textId="2FB9A269" w:rsidR="00C45F11" w:rsidRPr="000B139B" w:rsidRDefault="00DC4CF7" w:rsidP="000B139B">
      <w:pPr>
        <w:numPr>
          <w:ilvl w:val="0"/>
          <w:numId w:val="6"/>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Total number of bonds offered: 300,000 bonds, expected to </w:t>
      </w:r>
      <w:r w:rsidR="004C5299" w:rsidRPr="000B139B">
        <w:rPr>
          <w:rFonts w:ascii="Arial" w:hAnsi="Arial" w:cs="Arial"/>
          <w:color w:val="010000"/>
          <w:sz w:val="20"/>
          <w:szCs w:val="20"/>
        </w:rPr>
        <w:t xml:space="preserve">be </w:t>
      </w:r>
      <w:r w:rsidRPr="000B139B">
        <w:rPr>
          <w:rFonts w:ascii="Arial" w:hAnsi="Arial" w:cs="Arial"/>
          <w:color w:val="010000"/>
          <w:sz w:val="20"/>
          <w:szCs w:val="20"/>
        </w:rPr>
        <w:t>issue</w:t>
      </w:r>
      <w:r w:rsidR="004C5299" w:rsidRPr="000B139B">
        <w:rPr>
          <w:rFonts w:ascii="Arial" w:hAnsi="Arial" w:cs="Arial"/>
          <w:color w:val="010000"/>
          <w:sz w:val="20"/>
          <w:szCs w:val="20"/>
        </w:rPr>
        <w:t>d</w:t>
      </w:r>
      <w:r w:rsidRPr="000B139B">
        <w:rPr>
          <w:rFonts w:ascii="Arial" w:hAnsi="Arial" w:cs="Arial"/>
          <w:color w:val="010000"/>
          <w:sz w:val="20"/>
          <w:szCs w:val="20"/>
        </w:rPr>
        <w:t xml:space="preserve"> in 03 rounds; in which</w:t>
      </w:r>
      <w:r w:rsidR="004C5299" w:rsidRPr="000B139B">
        <w:rPr>
          <w:rFonts w:ascii="Arial" w:hAnsi="Arial" w:cs="Arial"/>
          <w:color w:val="010000"/>
          <w:sz w:val="20"/>
          <w:szCs w:val="20"/>
        </w:rPr>
        <w:t>,</w:t>
      </w:r>
      <w:r w:rsidRPr="000B139B">
        <w:rPr>
          <w:rFonts w:ascii="Arial" w:hAnsi="Arial" w:cs="Arial"/>
          <w:color w:val="010000"/>
          <w:sz w:val="20"/>
          <w:szCs w:val="20"/>
        </w:rPr>
        <w:t xml:space="preserve"> the number of bonds offered in Round 3 is: 100,000 bonds.</w:t>
      </w:r>
    </w:p>
    <w:p w14:paraId="719D6CB9" w14:textId="78ECE18C" w:rsidR="00C45F11" w:rsidRPr="000B139B" w:rsidRDefault="00DC4CF7" w:rsidP="000B139B">
      <w:pPr>
        <w:numPr>
          <w:ilvl w:val="0"/>
          <w:numId w:val="6"/>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Total value of offered bonds based on the par value: VND 3,000,000,000,000; in which</w:t>
      </w:r>
      <w:r w:rsidR="004C5299" w:rsidRPr="000B139B">
        <w:rPr>
          <w:rFonts w:ascii="Arial" w:hAnsi="Arial" w:cs="Arial"/>
          <w:color w:val="010000"/>
          <w:sz w:val="20"/>
          <w:szCs w:val="20"/>
        </w:rPr>
        <w:t>,</w:t>
      </w:r>
      <w:r w:rsidRPr="000B139B">
        <w:rPr>
          <w:rFonts w:ascii="Arial" w:hAnsi="Arial" w:cs="Arial"/>
          <w:color w:val="010000"/>
          <w:sz w:val="20"/>
          <w:szCs w:val="20"/>
        </w:rPr>
        <w:t xml:space="preserve"> the value of bonds offered at the par value </w:t>
      </w:r>
      <w:r w:rsidR="004C5299" w:rsidRPr="000B139B">
        <w:rPr>
          <w:rFonts w:ascii="Arial" w:hAnsi="Arial" w:cs="Arial"/>
          <w:color w:val="010000"/>
          <w:sz w:val="20"/>
          <w:szCs w:val="20"/>
        </w:rPr>
        <w:t>in</w:t>
      </w:r>
      <w:r w:rsidRPr="000B139B">
        <w:rPr>
          <w:rFonts w:ascii="Arial" w:hAnsi="Arial" w:cs="Arial"/>
          <w:color w:val="010000"/>
          <w:sz w:val="20"/>
          <w:szCs w:val="20"/>
        </w:rPr>
        <w:t xml:space="preserve"> Round 3 is: VND 1,000,000,000,000.</w:t>
      </w:r>
    </w:p>
    <w:p w14:paraId="3F60EA3F" w14:textId="1988A804" w:rsidR="00C45F11" w:rsidRPr="000B139B" w:rsidRDefault="00DC4CF7" w:rsidP="000B139B">
      <w:pPr>
        <w:numPr>
          <w:ilvl w:val="0"/>
          <w:numId w:val="6"/>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Bond term: Bond</w:t>
      </w:r>
      <w:r w:rsidR="004C5299" w:rsidRPr="000B139B">
        <w:rPr>
          <w:rFonts w:ascii="Arial" w:hAnsi="Arial" w:cs="Arial"/>
          <w:color w:val="010000"/>
          <w:sz w:val="20"/>
          <w:szCs w:val="20"/>
        </w:rPr>
        <w:t>s</w:t>
      </w:r>
      <w:r w:rsidRPr="000B139B">
        <w:rPr>
          <w:rFonts w:ascii="Arial" w:hAnsi="Arial" w:cs="Arial"/>
          <w:color w:val="010000"/>
          <w:sz w:val="20"/>
          <w:szCs w:val="20"/>
        </w:rPr>
        <w:t xml:space="preserve"> </w:t>
      </w:r>
      <w:r w:rsidR="004C5299" w:rsidRPr="000B139B">
        <w:rPr>
          <w:rFonts w:ascii="Arial" w:hAnsi="Arial" w:cs="Arial"/>
          <w:color w:val="010000"/>
          <w:sz w:val="20"/>
          <w:szCs w:val="20"/>
        </w:rPr>
        <w:t xml:space="preserve">in </w:t>
      </w:r>
      <w:r w:rsidRPr="000B139B">
        <w:rPr>
          <w:rFonts w:ascii="Arial" w:hAnsi="Arial" w:cs="Arial"/>
          <w:color w:val="010000"/>
          <w:sz w:val="20"/>
          <w:szCs w:val="20"/>
        </w:rPr>
        <w:t xml:space="preserve">Round 3 </w:t>
      </w:r>
      <w:r w:rsidR="004C5299" w:rsidRPr="000B139B">
        <w:rPr>
          <w:rFonts w:ascii="Arial" w:hAnsi="Arial" w:cs="Arial"/>
          <w:color w:val="010000"/>
          <w:sz w:val="20"/>
          <w:szCs w:val="20"/>
        </w:rPr>
        <w:t xml:space="preserve">has the </w:t>
      </w:r>
      <w:r w:rsidRPr="000B139B">
        <w:rPr>
          <w:rFonts w:ascii="Arial" w:hAnsi="Arial" w:cs="Arial"/>
          <w:color w:val="010000"/>
          <w:sz w:val="20"/>
          <w:szCs w:val="20"/>
        </w:rPr>
        <w:t>maturity</w:t>
      </w:r>
      <w:r w:rsidR="004C5299" w:rsidRPr="000B139B">
        <w:rPr>
          <w:rFonts w:ascii="Arial" w:hAnsi="Arial" w:cs="Arial"/>
          <w:color w:val="010000"/>
          <w:sz w:val="20"/>
          <w:szCs w:val="20"/>
        </w:rPr>
        <w:t xml:space="preserve"> of</w:t>
      </w:r>
      <w:r w:rsidRPr="000B139B">
        <w:rPr>
          <w:rFonts w:ascii="Arial" w:hAnsi="Arial" w:cs="Arial"/>
          <w:color w:val="010000"/>
          <w:sz w:val="20"/>
          <w:szCs w:val="20"/>
        </w:rPr>
        <w:t xml:space="preserve"> 07 years</w:t>
      </w:r>
    </w:p>
    <w:p w14:paraId="0407423D" w14:textId="77777777" w:rsidR="00C45F11" w:rsidRPr="000B139B" w:rsidRDefault="00DC4CF7" w:rsidP="000B139B">
      <w:pPr>
        <w:numPr>
          <w:ilvl w:val="0"/>
          <w:numId w:val="6"/>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Interest rate:</w:t>
      </w:r>
    </w:p>
    <w:p w14:paraId="2584DF5A" w14:textId="03D936DC"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The interest rate applied to </w:t>
      </w:r>
      <w:r w:rsidR="004C5299" w:rsidRPr="000B139B">
        <w:rPr>
          <w:rFonts w:ascii="Arial" w:hAnsi="Arial" w:cs="Arial"/>
          <w:color w:val="010000"/>
          <w:sz w:val="20"/>
          <w:szCs w:val="20"/>
        </w:rPr>
        <w:t xml:space="preserve">bonds in </w:t>
      </w:r>
      <w:r w:rsidRPr="000B139B">
        <w:rPr>
          <w:rFonts w:ascii="Arial" w:hAnsi="Arial" w:cs="Arial"/>
          <w:color w:val="010000"/>
          <w:sz w:val="20"/>
          <w:szCs w:val="20"/>
        </w:rPr>
        <w:t>Round 3 is a floating interest rate set as follows:</w:t>
      </w:r>
    </w:p>
    <w:p w14:paraId="75793438" w14:textId="77777777" w:rsidR="00C45F11" w:rsidRPr="000B139B" w:rsidRDefault="00DC4CF7" w:rsidP="000B139B">
      <w:pPr>
        <w:numPr>
          <w:ilvl w:val="0"/>
          <w:numId w:val="1"/>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First five years: Reference interest rate + 2.50%</w:t>
      </w:r>
    </w:p>
    <w:p w14:paraId="45D52ED8" w14:textId="77777777" w:rsidR="00C45F11" w:rsidRPr="000B139B" w:rsidRDefault="00DC4CF7" w:rsidP="000B139B">
      <w:pPr>
        <w:numPr>
          <w:ilvl w:val="0"/>
          <w:numId w:val="1"/>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Last two years: Reference interest rate + 3.50%</w:t>
      </w:r>
    </w:p>
    <w:p w14:paraId="1E7300E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In which: The reference interest rate used to determine the interest rate for each interest period is the average interest rate of personal savings deposits in Vietnamese Dong, postpaid with a term of 12 months (or the interest rate of an equivalent term) announced at the Interest Rate Determination Date on the official website of 04 Vietnamese commercial banks, including: Vietnam Joint Stock Commercial Bank for Industry and Trade, Joint Stock Commercial Bank for </w:t>
      </w:r>
      <w:r w:rsidRPr="000B139B">
        <w:rPr>
          <w:rFonts w:ascii="Arial" w:hAnsi="Arial" w:cs="Arial"/>
          <w:color w:val="010000"/>
          <w:sz w:val="20"/>
          <w:szCs w:val="20"/>
        </w:rPr>
        <w:lastRenderedPageBreak/>
        <w:t>Foreign Trade of Vietnam, Joint Stock Commercial Bank for Investment and Development of Vietnam, Vietnam Bank for Agriculture and Rural Development. The Reference Interest Rate will be rounded to two decimal places.</w:t>
      </w:r>
    </w:p>
    <w:p w14:paraId="3CF5FE4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Interest determination date:</w:t>
      </w:r>
    </w:p>
    <w:p w14:paraId="442990C9" w14:textId="60CA2409" w:rsidR="00C45F11" w:rsidRPr="000B139B" w:rsidRDefault="00DC4CF7" w:rsidP="000B139B">
      <w:pPr>
        <w:numPr>
          <w:ilvl w:val="0"/>
          <w:numId w:val="2"/>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For the first Interest Period: The 7th </w:t>
      </w:r>
      <w:r w:rsidR="004C5299" w:rsidRPr="000B139B">
        <w:rPr>
          <w:rFonts w:ascii="Arial" w:hAnsi="Arial" w:cs="Arial"/>
          <w:color w:val="010000"/>
          <w:sz w:val="20"/>
          <w:szCs w:val="20"/>
        </w:rPr>
        <w:t>business</w:t>
      </w:r>
      <w:r w:rsidRPr="000B139B">
        <w:rPr>
          <w:rFonts w:ascii="Arial" w:hAnsi="Arial" w:cs="Arial"/>
          <w:color w:val="010000"/>
          <w:sz w:val="20"/>
          <w:szCs w:val="20"/>
        </w:rPr>
        <w:t xml:space="preserve"> day before the Information Disclosure Date.</w:t>
      </w:r>
    </w:p>
    <w:p w14:paraId="09A44D6F" w14:textId="6D36B125" w:rsidR="00C45F11" w:rsidRPr="000B139B" w:rsidRDefault="00DC4CF7" w:rsidP="000B139B">
      <w:pPr>
        <w:numPr>
          <w:ilvl w:val="0"/>
          <w:numId w:val="2"/>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For the next Interest Period: The 7th </w:t>
      </w:r>
      <w:r w:rsidR="004C5299" w:rsidRPr="000B139B">
        <w:rPr>
          <w:rFonts w:ascii="Arial" w:hAnsi="Arial" w:cs="Arial"/>
          <w:color w:val="010000"/>
          <w:sz w:val="20"/>
          <w:szCs w:val="20"/>
        </w:rPr>
        <w:t xml:space="preserve">business </w:t>
      </w:r>
      <w:r w:rsidRPr="000B139B">
        <w:rPr>
          <w:rFonts w:ascii="Arial" w:hAnsi="Arial" w:cs="Arial"/>
          <w:color w:val="010000"/>
          <w:sz w:val="20"/>
          <w:szCs w:val="20"/>
        </w:rPr>
        <w:t>day before the Interest Payment Date.</w:t>
      </w:r>
    </w:p>
    <w:p w14:paraId="7F3B49B4" w14:textId="77777777" w:rsidR="00C45F11" w:rsidRPr="000B139B" w:rsidRDefault="00DC4CF7" w:rsidP="000B139B">
      <w:pPr>
        <w:numPr>
          <w:ilvl w:val="0"/>
          <w:numId w:val="2"/>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Reference Interest Rate for the 1st Interest Period: 4.95%. Bond Interest for the 1st Interest Period: 7.45%.</w:t>
      </w:r>
    </w:p>
    <w:p w14:paraId="208768F1" w14:textId="77777777" w:rsidR="00C45F11" w:rsidRPr="000B139B" w:rsidRDefault="00DC4CF7" w:rsidP="000B139B">
      <w:pPr>
        <w:numPr>
          <w:ilvl w:val="0"/>
          <w:numId w:val="6"/>
        </w:numPr>
        <w:pBdr>
          <w:top w:val="nil"/>
          <w:left w:val="nil"/>
          <w:bottom w:val="nil"/>
          <w:right w:val="nil"/>
          <w:between w:val="nil"/>
        </w:pBdr>
        <w:tabs>
          <w:tab w:val="left" w:pos="432"/>
          <w:tab w:val="left" w:pos="47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Interest payment period: Periodically once a year </w:t>
      </w:r>
    </w:p>
    <w:p w14:paraId="05D1A46B" w14:textId="77777777" w:rsidR="00C45F11" w:rsidRPr="000B139B" w:rsidRDefault="00DC4CF7" w:rsidP="000B139B">
      <w:pPr>
        <w:numPr>
          <w:ilvl w:val="0"/>
          <w:numId w:val="6"/>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Offering price: VND 10,000,000/bond</w:t>
      </w:r>
    </w:p>
    <w:p w14:paraId="569D5F8E" w14:textId="414A714E" w:rsidR="00C45F11" w:rsidRPr="000B139B" w:rsidRDefault="00DC4CF7" w:rsidP="000B139B">
      <w:pPr>
        <w:numPr>
          <w:ilvl w:val="0"/>
          <w:numId w:val="6"/>
        </w:numPr>
        <w:pBdr>
          <w:top w:val="nil"/>
          <w:left w:val="nil"/>
          <w:bottom w:val="nil"/>
          <w:right w:val="nil"/>
          <w:between w:val="nil"/>
        </w:pBdr>
        <w:tabs>
          <w:tab w:val="left" w:pos="432"/>
          <w:tab w:val="left" w:pos="578"/>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Distribution method: Distributed directly to investors </w:t>
      </w:r>
      <w:r w:rsidR="004C5299" w:rsidRPr="000B139B">
        <w:rPr>
          <w:rFonts w:ascii="Arial" w:hAnsi="Arial" w:cs="Arial"/>
          <w:color w:val="010000"/>
          <w:sz w:val="20"/>
          <w:szCs w:val="20"/>
        </w:rPr>
        <w:t>via</w:t>
      </w:r>
      <w:r w:rsidRPr="000B139B">
        <w:rPr>
          <w:rFonts w:ascii="Arial" w:hAnsi="Arial" w:cs="Arial"/>
          <w:color w:val="010000"/>
          <w:sz w:val="20"/>
          <w:szCs w:val="20"/>
        </w:rPr>
        <w:t xml:space="preserve"> distribution channels at the Head Office/Branches/Transaction Offices of Viet Nam </w:t>
      </w:r>
      <w:proofErr w:type="spellStart"/>
      <w:r w:rsidRPr="000B139B">
        <w:rPr>
          <w:rFonts w:ascii="Arial" w:hAnsi="Arial" w:cs="Arial"/>
          <w:color w:val="010000"/>
          <w:sz w:val="20"/>
          <w:szCs w:val="20"/>
        </w:rPr>
        <w:t>Thuong</w:t>
      </w:r>
      <w:proofErr w:type="spellEnd"/>
      <w:r w:rsidRPr="000B139B">
        <w:rPr>
          <w:rFonts w:ascii="Arial" w:hAnsi="Arial" w:cs="Arial"/>
          <w:color w:val="010000"/>
          <w:sz w:val="20"/>
          <w:szCs w:val="20"/>
        </w:rPr>
        <w:t xml:space="preserve"> Tin Commercial Joint Stock Bank</w:t>
      </w:r>
    </w:p>
    <w:p w14:paraId="6E67BDC0" w14:textId="77777777" w:rsidR="00C45F11" w:rsidRPr="000B139B" w:rsidRDefault="00DC4CF7" w:rsidP="000B139B">
      <w:pPr>
        <w:numPr>
          <w:ilvl w:val="0"/>
          <w:numId w:val="6"/>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Time to receive purchase registration and payment: From January 10, 2024 to March 26, 2024</w:t>
      </w:r>
    </w:p>
    <w:p w14:paraId="1CE74F8F" w14:textId="6B588AA6" w:rsidR="00C45F11" w:rsidRPr="000B139B" w:rsidRDefault="004C5299" w:rsidP="000B139B">
      <w:pPr>
        <w:numPr>
          <w:ilvl w:val="0"/>
          <w:numId w:val="6"/>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E</w:t>
      </w:r>
      <w:r w:rsidR="00DC4CF7" w:rsidRPr="000B139B">
        <w:rPr>
          <w:rFonts w:ascii="Arial" w:hAnsi="Arial" w:cs="Arial"/>
          <w:color w:val="010000"/>
          <w:sz w:val="20"/>
          <w:szCs w:val="20"/>
        </w:rPr>
        <w:t>nd date of the offering: March 26, 2024</w:t>
      </w:r>
    </w:p>
    <w:p w14:paraId="70E3EE7F" w14:textId="01B6A62E" w:rsidR="00C45F11" w:rsidRPr="000B139B" w:rsidRDefault="00DC4CF7" w:rsidP="000B139B">
      <w:pPr>
        <w:numPr>
          <w:ilvl w:val="0"/>
          <w:numId w:val="6"/>
        </w:numPr>
        <w:pBdr>
          <w:top w:val="nil"/>
          <w:left w:val="nil"/>
          <w:bottom w:val="nil"/>
          <w:right w:val="nil"/>
          <w:between w:val="nil"/>
        </w:pBdr>
        <w:tabs>
          <w:tab w:val="left" w:pos="432"/>
          <w:tab w:val="left" w:pos="581"/>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Expected date to transfer bonds: Within a maximum of 30 </w:t>
      </w:r>
      <w:r w:rsidR="004C5299" w:rsidRPr="000B139B">
        <w:rPr>
          <w:rFonts w:ascii="Arial" w:hAnsi="Arial" w:cs="Arial"/>
          <w:color w:val="010000"/>
          <w:sz w:val="20"/>
          <w:szCs w:val="20"/>
        </w:rPr>
        <w:t xml:space="preserve">business days </w:t>
      </w:r>
      <w:r w:rsidRPr="000B139B">
        <w:rPr>
          <w:rFonts w:ascii="Arial" w:hAnsi="Arial" w:cs="Arial"/>
          <w:color w:val="010000"/>
          <w:sz w:val="20"/>
          <w:szCs w:val="20"/>
        </w:rPr>
        <w:t xml:space="preserve">from the end of the </w:t>
      </w:r>
      <w:r w:rsidR="004C5299" w:rsidRPr="000B139B">
        <w:rPr>
          <w:rFonts w:ascii="Arial" w:hAnsi="Arial" w:cs="Arial"/>
          <w:color w:val="010000"/>
          <w:sz w:val="20"/>
          <w:szCs w:val="20"/>
        </w:rPr>
        <w:t>b</w:t>
      </w:r>
      <w:r w:rsidRPr="000B139B">
        <w:rPr>
          <w:rFonts w:ascii="Arial" w:hAnsi="Arial" w:cs="Arial"/>
          <w:color w:val="010000"/>
          <w:sz w:val="20"/>
          <w:szCs w:val="20"/>
        </w:rPr>
        <w:t xml:space="preserve">ond offering, the Investor </w:t>
      </w:r>
      <w:r w:rsidR="004C5299" w:rsidRPr="000B139B">
        <w:rPr>
          <w:rFonts w:ascii="Arial" w:hAnsi="Arial" w:cs="Arial"/>
          <w:color w:val="010000"/>
          <w:sz w:val="20"/>
          <w:szCs w:val="20"/>
        </w:rPr>
        <w:t>shall</w:t>
      </w:r>
      <w:r w:rsidRPr="000B139B">
        <w:rPr>
          <w:rFonts w:ascii="Arial" w:hAnsi="Arial" w:cs="Arial"/>
          <w:color w:val="010000"/>
          <w:sz w:val="20"/>
          <w:szCs w:val="20"/>
        </w:rPr>
        <w:t xml:space="preserve"> receive the Certificate of Bond Ownership at the Issuer or its branch/transaction office.</w:t>
      </w:r>
      <w:r w:rsidR="004C5299" w:rsidRPr="000B139B">
        <w:rPr>
          <w:rFonts w:ascii="Arial" w:hAnsi="Arial" w:cs="Arial"/>
          <w:color w:val="010000"/>
          <w:sz w:val="20"/>
          <w:szCs w:val="20"/>
        </w:rPr>
        <w:t xml:space="preserve"> </w:t>
      </w:r>
    </w:p>
    <w:p w14:paraId="73417E43" w14:textId="77777777" w:rsidR="00C45F11" w:rsidRPr="000B139B" w:rsidRDefault="00DC4CF7" w:rsidP="000B139B">
      <w:pPr>
        <w:numPr>
          <w:ilvl w:val="0"/>
          <w:numId w:val="5"/>
        </w:numPr>
        <w:pBdr>
          <w:top w:val="nil"/>
          <w:left w:val="nil"/>
          <w:bottom w:val="nil"/>
          <w:right w:val="nil"/>
          <w:between w:val="nil"/>
        </w:pBdr>
        <w:tabs>
          <w:tab w:val="left" w:pos="432"/>
          <w:tab w:val="left" w:pos="527"/>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0"/>
        <w:gridCol w:w="1693"/>
        <w:gridCol w:w="1322"/>
        <w:gridCol w:w="1322"/>
        <w:gridCol w:w="1317"/>
        <w:gridCol w:w="954"/>
        <w:gridCol w:w="1144"/>
        <w:gridCol w:w="1200"/>
        <w:gridCol w:w="1236"/>
        <w:gridCol w:w="1231"/>
      </w:tblGrid>
      <w:tr w:rsidR="00C45F11" w:rsidRPr="000B139B" w14:paraId="0D5369FF" w14:textId="77777777" w:rsidTr="00DC4CF7">
        <w:tc>
          <w:tcPr>
            <w:tcW w:w="909" w:type="pct"/>
            <w:shd w:val="clear" w:color="auto" w:fill="auto"/>
            <w:tcMar>
              <w:top w:w="0" w:type="dxa"/>
              <w:bottom w:w="0" w:type="dxa"/>
            </w:tcMar>
            <w:vAlign w:val="center"/>
          </w:tcPr>
          <w:p w14:paraId="3295C18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Eligible buyers</w:t>
            </w:r>
          </w:p>
        </w:tc>
        <w:tc>
          <w:tcPr>
            <w:tcW w:w="609" w:type="pct"/>
            <w:shd w:val="clear" w:color="auto" w:fill="auto"/>
            <w:tcMar>
              <w:top w:w="0" w:type="dxa"/>
              <w:bottom w:w="0" w:type="dxa"/>
            </w:tcMar>
            <w:vAlign w:val="center"/>
          </w:tcPr>
          <w:p w14:paraId="362F501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Offering price (VND/bond)</w:t>
            </w:r>
          </w:p>
        </w:tc>
        <w:tc>
          <w:tcPr>
            <w:tcW w:w="476" w:type="pct"/>
            <w:shd w:val="clear" w:color="auto" w:fill="auto"/>
            <w:tcMar>
              <w:top w:w="0" w:type="dxa"/>
              <w:bottom w:w="0" w:type="dxa"/>
            </w:tcMar>
            <w:vAlign w:val="center"/>
          </w:tcPr>
          <w:p w14:paraId="50210EB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Number of offered bonds</w:t>
            </w:r>
          </w:p>
        </w:tc>
        <w:tc>
          <w:tcPr>
            <w:tcW w:w="476" w:type="pct"/>
            <w:shd w:val="clear" w:color="auto" w:fill="auto"/>
            <w:tcMar>
              <w:top w:w="0" w:type="dxa"/>
              <w:bottom w:w="0" w:type="dxa"/>
            </w:tcMar>
            <w:vAlign w:val="center"/>
          </w:tcPr>
          <w:p w14:paraId="1F3FA7A8" w14:textId="1BC5A051"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Number of bonds registered to </w:t>
            </w:r>
            <w:r w:rsidR="004C5299" w:rsidRPr="000B139B">
              <w:rPr>
                <w:rFonts w:ascii="Arial" w:hAnsi="Arial" w:cs="Arial"/>
                <w:color w:val="010000"/>
                <w:sz w:val="20"/>
                <w:szCs w:val="20"/>
              </w:rPr>
              <w:t>purchase</w:t>
            </w:r>
          </w:p>
        </w:tc>
        <w:tc>
          <w:tcPr>
            <w:tcW w:w="474" w:type="pct"/>
            <w:shd w:val="clear" w:color="auto" w:fill="auto"/>
            <w:tcMar>
              <w:top w:w="0" w:type="dxa"/>
              <w:bottom w:w="0" w:type="dxa"/>
            </w:tcMar>
            <w:vAlign w:val="center"/>
          </w:tcPr>
          <w:p w14:paraId="680F8B9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Number of bonds to be distributed</w:t>
            </w:r>
          </w:p>
        </w:tc>
        <w:tc>
          <w:tcPr>
            <w:tcW w:w="324" w:type="pct"/>
            <w:shd w:val="clear" w:color="auto" w:fill="auto"/>
            <w:tcMar>
              <w:top w:w="0" w:type="dxa"/>
              <w:bottom w:w="0" w:type="dxa"/>
            </w:tcMar>
            <w:vAlign w:val="center"/>
          </w:tcPr>
          <w:p w14:paraId="376AABC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Number of investors registering to purchase shares</w:t>
            </w:r>
          </w:p>
          <w:p w14:paraId="124C79D7" w14:textId="77777777" w:rsidR="00C45F11" w:rsidRPr="000B139B" w:rsidRDefault="00C45F11"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412" w:type="pct"/>
            <w:shd w:val="clear" w:color="auto" w:fill="auto"/>
            <w:tcMar>
              <w:top w:w="0" w:type="dxa"/>
              <w:bottom w:w="0" w:type="dxa"/>
            </w:tcMar>
            <w:vAlign w:val="center"/>
          </w:tcPr>
          <w:p w14:paraId="1AEAD558" w14:textId="718DED2D"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lastRenderedPageBreak/>
              <w:t>Number of investors</w:t>
            </w:r>
            <w:r w:rsidR="004C5299" w:rsidRPr="000B139B">
              <w:rPr>
                <w:rFonts w:ascii="Arial" w:hAnsi="Arial" w:cs="Arial"/>
                <w:color w:val="010000"/>
                <w:sz w:val="20"/>
                <w:szCs w:val="20"/>
              </w:rPr>
              <w:t xml:space="preserve"> entitled to distribution</w:t>
            </w:r>
          </w:p>
        </w:tc>
        <w:tc>
          <w:tcPr>
            <w:tcW w:w="432" w:type="pct"/>
            <w:shd w:val="clear" w:color="auto" w:fill="auto"/>
            <w:tcMar>
              <w:top w:w="0" w:type="dxa"/>
              <w:bottom w:w="0" w:type="dxa"/>
            </w:tcMar>
            <w:vAlign w:val="center"/>
          </w:tcPr>
          <w:p w14:paraId="3E075933" w14:textId="2A146562"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Numbers of investors without </w:t>
            </w:r>
            <w:r w:rsidR="004C5299" w:rsidRPr="000B139B">
              <w:rPr>
                <w:rFonts w:ascii="Arial" w:hAnsi="Arial" w:cs="Arial"/>
                <w:color w:val="010000"/>
                <w:sz w:val="20"/>
                <w:szCs w:val="20"/>
              </w:rPr>
              <w:t>distribution</w:t>
            </w:r>
          </w:p>
        </w:tc>
        <w:tc>
          <w:tcPr>
            <w:tcW w:w="445" w:type="pct"/>
            <w:shd w:val="clear" w:color="auto" w:fill="auto"/>
            <w:tcMar>
              <w:top w:w="0" w:type="dxa"/>
              <w:bottom w:w="0" w:type="dxa"/>
            </w:tcMar>
            <w:vAlign w:val="center"/>
          </w:tcPr>
          <w:p w14:paraId="3AF5D743"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Number of remaining bonds</w:t>
            </w:r>
          </w:p>
        </w:tc>
        <w:tc>
          <w:tcPr>
            <w:tcW w:w="443" w:type="pct"/>
            <w:shd w:val="clear" w:color="auto" w:fill="auto"/>
            <w:tcMar>
              <w:top w:w="0" w:type="dxa"/>
              <w:bottom w:w="0" w:type="dxa"/>
            </w:tcMar>
            <w:vAlign w:val="center"/>
          </w:tcPr>
          <w:p w14:paraId="0450081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Rate of distributed bonds</w:t>
            </w:r>
          </w:p>
        </w:tc>
      </w:tr>
      <w:tr w:rsidR="00C45F11" w:rsidRPr="000B139B" w14:paraId="286EE039" w14:textId="77777777" w:rsidTr="00DC4CF7">
        <w:tc>
          <w:tcPr>
            <w:tcW w:w="909" w:type="pct"/>
            <w:shd w:val="clear" w:color="auto" w:fill="auto"/>
            <w:tcMar>
              <w:top w:w="0" w:type="dxa"/>
              <w:bottom w:w="0" w:type="dxa"/>
            </w:tcMar>
            <w:vAlign w:val="center"/>
          </w:tcPr>
          <w:p w14:paraId="541616F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lastRenderedPageBreak/>
              <w:t>1</w:t>
            </w:r>
          </w:p>
        </w:tc>
        <w:tc>
          <w:tcPr>
            <w:tcW w:w="609" w:type="pct"/>
            <w:shd w:val="clear" w:color="auto" w:fill="auto"/>
            <w:tcMar>
              <w:top w:w="0" w:type="dxa"/>
              <w:bottom w:w="0" w:type="dxa"/>
            </w:tcMar>
            <w:vAlign w:val="center"/>
          </w:tcPr>
          <w:p w14:paraId="6E7C6FA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p>
        </w:tc>
        <w:tc>
          <w:tcPr>
            <w:tcW w:w="476" w:type="pct"/>
            <w:shd w:val="clear" w:color="auto" w:fill="auto"/>
            <w:tcMar>
              <w:top w:w="0" w:type="dxa"/>
              <w:bottom w:w="0" w:type="dxa"/>
            </w:tcMar>
            <w:vAlign w:val="center"/>
          </w:tcPr>
          <w:p w14:paraId="36D3422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3</w:t>
            </w:r>
          </w:p>
        </w:tc>
        <w:tc>
          <w:tcPr>
            <w:tcW w:w="476" w:type="pct"/>
            <w:shd w:val="clear" w:color="auto" w:fill="auto"/>
            <w:tcMar>
              <w:top w:w="0" w:type="dxa"/>
              <w:bottom w:w="0" w:type="dxa"/>
            </w:tcMar>
            <w:vAlign w:val="center"/>
          </w:tcPr>
          <w:p w14:paraId="619E149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4</w:t>
            </w:r>
          </w:p>
        </w:tc>
        <w:tc>
          <w:tcPr>
            <w:tcW w:w="474" w:type="pct"/>
            <w:shd w:val="clear" w:color="auto" w:fill="auto"/>
            <w:tcMar>
              <w:top w:w="0" w:type="dxa"/>
              <w:bottom w:w="0" w:type="dxa"/>
            </w:tcMar>
            <w:vAlign w:val="center"/>
          </w:tcPr>
          <w:p w14:paraId="088965DD"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5</w:t>
            </w:r>
          </w:p>
        </w:tc>
        <w:tc>
          <w:tcPr>
            <w:tcW w:w="324" w:type="pct"/>
            <w:shd w:val="clear" w:color="auto" w:fill="auto"/>
            <w:tcMar>
              <w:top w:w="0" w:type="dxa"/>
              <w:bottom w:w="0" w:type="dxa"/>
            </w:tcMar>
            <w:vAlign w:val="center"/>
          </w:tcPr>
          <w:p w14:paraId="1A1583D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6</w:t>
            </w:r>
          </w:p>
        </w:tc>
        <w:tc>
          <w:tcPr>
            <w:tcW w:w="412" w:type="pct"/>
            <w:shd w:val="clear" w:color="auto" w:fill="auto"/>
            <w:tcMar>
              <w:top w:w="0" w:type="dxa"/>
              <w:bottom w:w="0" w:type="dxa"/>
            </w:tcMar>
            <w:vAlign w:val="center"/>
          </w:tcPr>
          <w:p w14:paraId="466E82B3"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7</w:t>
            </w:r>
          </w:p>
        </w:tc>
        <w:tc>
          <w:tcPr>
            <w:tcW w:w="432" w:type="pct"/>
            <w:shd w:val="clear" w:color="auto" w:fill="auto"/>
            <w:tcMar>
              <w:top w:w="0" w:type="dxa"/>
              <w:bottom w:w="0" w:type="dxa"/>
            </w:tcMar>
            <w:vAlign w:val="center"/>
          </w:tcPr>
          <w:p w14:paraId="1898F97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8=6-7</w:t>
            </w:r>
          </w:p>
        </w:tc>
        <w:tc>
          <w:tcPr>
            <w:tcW w:w="445" w:type="pct"/>
            <w:shd w:val="clear" w:color="auto" w:fill="auto"/>
            <w:tcMar>
              <w:top w:w="0" w:type="dxa"/>
              <w:bottom w:w="0" w:type="dxa"/>
            </w:tcMar>
            <w:vAlign w:val="center"/>
          </w:tcPr>
          <w:p w14:paraId="3FA6843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9=3-5</w:t>
            </w:r>
          </w:p>
        </w:tc>
        <w:tc>
          <w:tcPr>
            <w:tcW w:w="443" w:type="pct"/>
            <w:shd w:val="clear" w:color="auto" w:fill="auto"/>
            <w:tcMar>
              <w:top w:w="0" w:type="dxa"/>
              <w:bottom w:w="0" w:type="dxa"/>
            </w:tcMar>
            <w:vAlign w:val="center"/>
          </w:tcPr>
          <w:p w14:paraId="722C4C0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10=5/3</w:t>
            </w:r>
          </w:p>
        </w:tc>
      </w:tr>
      <w:tr w:rsidR="00C45F11" w:rsidRPr="000B139B" w14:paraId="08FD27D8" w14:textId="77777777" w:rsidTr="00DC4CF7">
        <w:tc>
          <w:tcPr>
            <w:tcW w:w="909" w:type="pct"/>
            <w:shd w:val="clear" w:color="auto" w:fill="auto"/>
            <w:tcMar>
              <w:top w:w="0" w:type="dxa"/>
              <w:bottom w:w="0" w:type="dxa"/>
            </w:tcMar>
            <w:vAlign w:val="center"/>
          </w:tcPr>
          <w:p w14:paraId="409CBF74" w14:textId="3C5B30DD"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w:t>
            </w:r>
            <w:r w:rsidR="00D74682" w:rsidRPr="000B139B">
              <w:rPr>
                <w:rFonts w:ascii="Arial" w:hAnsi="Arial" w:cs="Arial"/>
                <w:color w:val="010000"/>
                <w:sz w:val="20"/>
                <w:szCs w:val="20"/>
              </w:rPr>
              <w:t>.</w:t>
            </w:r>
            <w:r w:rsidRPr="000B139B">
              <w:rPr>
                <w:rFonts w:ascii="Arial" w:hAnsi="Arial" w:cs="Arial"/>
                <w:color w:val="010000"/>
                <w:sz w:val="20"/>
                <w:szCs w:val="20"/>
              </w:rPr>
              <w:t xml:space="preserve"> Individual investors, in which:</w:t>
            </w:r>
          </w:p>
        </w:tc>
        <w:tc>
          <w:tcPr>
            <w:tcW w:w="609" w:type="pct"/>
            <w:shd w:val="clear" w:color="auto" w:fill="auto"/>
            <w:tcMar>
              <w:top w:w="0" w:type="dxa"/>
              <w:bottom w:w="0" w:type="dxa"/>
            </w:tcMar>
            <w:vAlign w:val="center"/>
          </w:tcPr>
          <w:p w14:paraId="58698953" w14:textId="77777777" w:rsidR="00C45F11" w:rsidRPr="000B139B" w:rsidRDefault="00C45F11" w:rsidP="000B139B">
            <w:pPr>
              <w:tabs>
                <w:tab w:val="left" w:pos="432"/>
              </w:tabs>
              <w:spacing w:after="120" w:line="360" w:lineRule="auto"/>
              <w:jc w:val="both"/>
              <w:rPr>
                <w:rFonts w:ascii="Arial" w:eastAsia="Arial" w:hAnsi="Arial" w:cs="Arial"/>
                <w:color w:val="010000"/>
                <w:sz w:val="20"/>
                <w:szCs w:val="20"/>
              </w:rPr>
            </w:pPr>
          </w:p>
        </w:tc>
        <w:tc>
          <w:tcPr>
            <w:tcW w:w="476" w:type="pct"/>
            <w:shd w:val="clear" w:color="auto" w:fill="auto"/>
            <w:tcMar>
              <w:top w:w="0" w:type="dxa"/>
              <w:bottom w:w="0" w:type="dxa"/>
            </w:tcMar>
            <w:vAlign w:val="center"/>
          </w:tcPr>
          <w:p w14:paraId="63C61A3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476" w:type="pct"/>
            <w:shd w:val="clear" w:color="auto" w:fill="auto"/>
            <w:tcMar>
              <w:top w:w="0" w:type="dxa"/>
              <w:bottom w:w="0" w:type="dxa"/>
            </w:tcMar>
            <w:vAlign w:val="center"/>
          </w:tcPr>
          <w:p w14:paraId="41E9248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474" w:type="pct"/>
            <w:shd w:val="clear" w:color="auto" w:fill="auto"/>
            <w:tcMar>
              <w:top w:w="0" w:type="dxa"/>
              <w:bottom w:w="0" w:type="dxa"/>
            </w:tcMar>
            <w:vAlign w:val="center"/>
          </w:tcPr>
          <w:p w14:paraId="282BE3E8"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324" w:type="pct"/>
            <w:shd w:val="clear" w:color="auto" w:fill="auto"/>
            <w:tcMar>
              <w:top w:w="0" w:type="dxa"/>
              <w:bottom w:w="0" w:type="dxa"/>
            </w:tcMar>
            <w:vAlign w:val="center"/>
          </w:tcPr>
          <w:p w14:paraId="36D2F4F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278</w:t>
            </w:r>
          </w:p>
        </w:tc>
        <w:tc>
          <w:tcPr>
            <w:tcW w:w="412" w:type="pct"/>
            <w:shd w:val="clear" w:color="auto" w:fill="auto"/>
            <w:tcMar>
              <w:top w:w="0" w:type="dxa"/>
              <w:bottom w:w="0" w:type="dxa"/>
            </w:tcMar>
            <w:vAlign w:val="center"/>
          </w:tcPr>
          <w:p w14:paraId="560CEF6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278</w:t>
            </w:r>
          </w:p>
        </w:tc>
        <w:tc>
          <w:tcPr>
            <w:tcW w:w="432" w:type="pct"/>
            <w:shd w:val="clear" w:color="auto" w:fill="auto"/>
            <w:tcMar>
              <w:top w:w="0" w:type="dxa"/>
              <w:bottom w:w="0" w:type="dxa"/>
            </w:tcMar>
            <w:vAlign w:val="center"/>
          </w:tcPr>
          <w:p w14:paraId="4949921E"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26777638"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4FFF1CB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w:t>
            </w:r>
          </w:p>
        </w:tc>
      </w:tr>
      <w:tr w:rsidR="00C45F11" w:rsidRPr="000B139B" w14:paraId="3B79F431" w14:textId="77777777" w:rsidTr="00DC4CF7">
        <w:tc>
          <w:tcPr>
            <w:tcW w:w="909" w:type="pct"/>
            <w:shd w:val="clear" w:color="auto" w:fill="auto"/>
            <w:tcMar>
              <w:top w:w="0" w:type="dxa"/>
              <w:bottom w:w="0" w:type="dxa"/>
            </w:tcMar>
            <w:vAlign w:val="center"/>
          </w:tcPr>
          <w:p w14:paraId="72EE4602"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Domestic investors</w:t>
            </w:r>
          </w:p>
          <w:p w14:paraId="3A00B1F0" w14:textId="77777777" w:rsidR="00C45F11" w:rsidRPr="000B139B" w:rsidRDefault="00C45F11"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609" w:type="pct"/>
            <w:shd w:val="clear" w:color="auto" w:fill="auto"/>
            <w:tcMar>
              <w:top w:w="0" w:type="dxa"/>
              <w:bottom w:w="0" w:type="dxa"/>
            </w:tcMar>
            <w:vAlign w:val="center"/>
          </w:tcPr>
          <w:p w14:paraId="47B71DB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10,000,000</w:t>
            </w:r>
          </w:p>
        </w:tc>
        <w:tc>
          <w:tcPr>
            <w:tcW w:w="476" w:type="pct"/>
            <w:shd w:val="clear" w:color="auto" w:fill="auto"/>
            <w:tcMar>
              <w:top w:w="0" w:type="dxa"/>
              <w:bottom w:w="0" w:type="dxa"/>
            </w:tcMar>
            <w:vAlign w:val="center"/>
          </w:tcPr>
          <w:p w14:paraId="56FC44B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476" w:type="pct"/>
            <w:shd w:val="clear" w:color="auto" w:fill="auto"/>
            <w:tcMar>
              <w:top w:w="0" w:type="dxa"/>
              <w:bottom w:w="0" w:type="dxa"/>
            </w:tcMar>
            <w:vAlign w:val="center"/>
          </w:tcPr>
          <w:p w14:paraId="26E5A3C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474" w:type="pct"/>
            <w:shd w:val="clear" w:color="auto" w:fill="auto"/>
            <w:tcMar>
              <w:top w:w="0" w:type="dxa"/>
              <w:bottom w:w="0" w:type="dxa"/>
            </w:tcMar>
            <w:vAlign w:val="center"/>
          </w:tcPr>
          <w:p w14:paraId="52CA08ED"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88,900</w:t>
            </w:r>
          </w:p>
        </w:tc>
        <w:tc>
          <w:tcPr>
            <w:tcW w:w="324" w:type="pct"/>
            <w:shd w:val="clear" w:color="auto" w:fill="auto"/>
            <w:tcMar>
              <w:top w:w="0" w:type="dxa"/>
              <w:bottom w:w="0" w:type="dxa"/>
            </w:tcMar>
            <w:vAlign w:val="center"/>
          </w:tcPr>
          <w:p w14:paraId="2BC545F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278</w:t>
            </w:r>
          </w:p>
        </w:tc>
        <w:tc>
          <w:tcPr>
            <w:tcW w:w="412" w:type="pct"/>
            <w:shd w:val="clear" w:color="auto" w:fill="auto"/>
            <w:tcMar>
              <w:top w:w="0" w:type="dxa"/>
              <w:bottom w:w="0" w:type="dxa"/>
            </w:tcMar>
            <w:vAlign w:val="center"/>
          </w:tcPr>
          <w:p w14:paraId="4A18D9D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278</w:t>
            </w:r>
          </w:p>
        </w:tc>
        <w:tc>
          <w:tcPr>
            <w:tcW w:w="432" w:type="pct"/>
            <w:shd w:val="clear" w:color="auto" w:fill="auto"/>
            <w:tcMar>
              <w:top w:w="0" w:type="dxa"/>
              <w:bottom w:w="0" w:type="dxa"/>
            </w:tcMar>
            <w:vAlign w:val="center"/>
          </w:tcPr>
          <w:p w14:paraId="366AA65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347B194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7185F7A2"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88.90%</w:t>
            </w:r>
          </w:p>
        </w:tc>
      </w:tr>
      <w:tr w:rsidR="00C45F11" w:rsidRPr="000B139B" w14:paraId="3D7447E5" w14:textId="77777777" w:rsidTr="00DC4CF7">
        <w:tc>
          <w:tcPr>
            <w:tcW w:w="909" w:type="pct"/>
            <w:shd w:val="clear" w:color="auto" w:fill="auto"/>
            <w:tcMar>
              <w:top w:w="0" w:type="dxa"/>
              <w:bottom w:w="0" w:type="dxa"/>
            </w:tcMar>
            <w:vAlign w:val="center"/>
          </w:tcPr>
          <w:p w14:paraId="5099DCD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Foreign investors, economic organizations in which foreign investors hold more than 50% of charter capital</w:t>
            </w:r>
          </w:p>
        </w:tc>
        <w:tc>
          <w:tcPr>
            <w:tcW w:w="609" w:type="pct"/>
            <w:shd w:val="clear" w:color="auto" w:fill="auto"/>
            <w:tcMar>
              <w:top w:w="0" w:type="dxa"/>
              <w:bottom w:w="0" w:type="dxa"/>
            </w:tcMar>
            <w:vAlign w:val="center"/>
          </w:tcPr>
          <w:p w14:paraId="39B9B9D6"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10,000,000</w:t>
            </w:r>
          </w:p>
        </w:tc>
        <w:tc>
          <w:tcPr>
            <w:tcW w:w="476" w:type="pct"/>
            <w:shd w:val="clear" w:color="auto" w:fill="auto"/>
            <w:tcMar>
              <w:top w:w="0" w:type="dxa"/>
              <w:bottom w:w="0" w:type="dxa"/>
            </w:tcMar>
            <w:vAlign w:val="center"/>
          </w:tcPr>
          <w:p w14:paraId="251B142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76" w:type="pct"/>
            <w:shd w:val="clear" w:color="auto" w:fill="auto"/>
            <w:tcMar>
              <w:top w:w="0" w:type="dxa"/>
              <w:bottom w:w="0" w:type="dxa"/>
            </w:tcMar>
            <w:vAlign w:val="center"/>
          </w:tcPr>
          <w:p w14:paraId="1AE09B4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74" w:type="pct"/>
            <w:shd w:val="clear" w:color="auto" w:fill="auto"/>
            <w:tcMar>
              <w:top w:w="0" w:type="dxa"/>
              <w:bottom w:w="0" w:type="dxa"/>
            </w:tcMar>
            <w:vAlign w:val="center"/>
          </w:tcPr>
          <w:p w14:paraId="35B17903"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324" w:type="pct"/>
            <w:shd w:val="clear" w:color="auto" w:fill="auto"/>
            <w:tcMar>
              <w:top w:w="0" w:type="dxa"/>
              <w:bottom w:w="0" w:type="dxa"/>
            </w:tcMar>
            <w:vAlign w:val="center"/>
          </w:tcPr>
          <w:p w14:paraId="747C44D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12" w:type="pct"/>
            <w:shd w:val="clear" w:color="auto" w:fill="auto"/>
            <w:tcMar>
              <w:top w:w="0" w:type="dxa"/>
              <w:bottom w:w="0" w:type="dxa"/>
            </w:tcMar>
            <w:vAlign w:val="center"/>
          </w:tcPr>
          <w:p w14:paraId="5E6A3416"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32" w:type="pct"/>
            <w:shd w:val="clear" w:color="auto" w:fill="auto"/>
            <w:tcMar>
              <w:top w:w="0" w:type="dxa"/>
              <w:bottom w:w="0" w:type="dxa"/>
            </w:tcMar>
            <w:vAlign w:val="center"/>
          </w:tcPr>
          <w:p w14:paraId="2B5D288E"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2FE98D07"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2DD41D4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r>
      <w:tr w:rsidR="00C45F11" w:rsidRPr="000B139B" w14:paraId="5F3C4927" w14:textId="77777777" w:rsidTr="00DC4CF7">
        <w:tc>
          <w:tcPr>
            <w:tcW w:w="909" w:type="pct"/>
            <w:shd w:val="clear" w:color="auto" w:fill="auto"/>
            <w:tcMar>
              <w:top w:w="0" w:type="dxa"/>
              <w:bottom w:w="0" w:type="dxa"/>
            </w:tcMar>
            <w:vAlign w:val="center"/>
          </w:tcPr>
          <w:p w14:paraId="30F6F5E2" w14:textId="116E650E"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r w:rsidR="00D74682" w:rsidRPr="000B139B">
              <w:rPr>
                <w:rFonts w:ascii="Arial" w:hAnsi="Arial" w:cs="Arial"/>
                <w:color w:val="010000"/>
                <w:sz w:val="20"/>
                <w:szCs w:val="20"/>
              </w:rPr>
              <w:t>.</w:t>
            </w:r>
            <w:r w:rsidRPr="000B139B">
              <w:rPr>
                <w:rFonts w:ascii="Arial" w:hAnsi="Arial" w:cs="Arial"/>
                <w:color w:val="010000"/>
                <w:sz w:val="20"/>
                <w:szCs w:val="20"/>
              </w:rPr>
              <w:t xml:space="preserve"> Institutional investors, in which:</w:t>
            </w:r>
          </w:p>
        </w:tc>
        <w:tc>
          <w:tcPr>
            <w:tcW w:w="609" w:type="pct"/>
            <w:shd w:val="clear" w:color="auto" w:fill="auto"/>
            <w:tcMar>
              <w:top w:w="0" w:type="dxa"/>
              <w:bottom w:w="0" w:type="dxa"/>
            </w:tcMar>
            <w:vAlign w:val="center"/>
          </w:tcPr>
          <w:p w14:paraId="0D43A2D7" w14:textId="77777777" w:rsidR="00C45F11" w:rsidRPr="000B139B" w:rsidRDefault="00C45F11" w:rsidP="000B139B">
            <w:pPr>
              <w:tabs>
                <w:tab w:val="left" w:pos="432"/>
              </w:tabs>
              <w:spacing w:after="120" w:line="360" w:lineRule="auto"/>
              <w:jc w:val="both"/>
              <w:rPr>
                <w:rFonts w:ascii="Arial" w:eastAsia="Arial" w:hAnsi="Arial" w:cs="Arial"/>
                <w:color w:val="010000"/>
                <w:sz w:val="20"/>
                <w:szCs w:val="20"/>
              </w:rPr>
            </w:pPr>
          </w:p>
        </w:tc>
        <w:tc>
          <w:tcPr>
            <w:tcW w:w="476" w:type="pct"/>
            <w:shd w:val="clear" w:color="auto" w:fill="auto"/>
            <w:tcMar>
              <w:top w:w="0" w:type="dxa"/>
              <w:bottom w:w="0" w:type="dxa"/>
            </w:tcMar>
            <w:vAlign w:val="center"/>
          </w:tcPr>
          <w:p w14:paraId="76CACD5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476" w:type="pct"/>
            <w:shd w:val="clear" w:color="auto" w:fill="auto"/>
            <w:tcMar>
              <w:top w:w="0" w:type="dxa"/>
              <w:bottom w:w="0" w:type="dxa"/>
            </w:tcMar>
            <w:vAlign w:val="center"/>
          </w:tcPr>
          <w:p w14:paraId="5D35A95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474" w:type="pct"/>
            <w:shd w:val="clear" w:color="auto" w:fill="auto"/>
            <w:tcMar>
              <w:top w:w="0" w:type="dxa"/>
              <w:bottom w:w="0" w:type="dxa"/>
            </w:tcMar>
            <w:vAlign w:val="center"/>
          </w:tcPr>
          <w:p w14:paraId="6EAEB4A3"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324" w:type="pct"/>
            <w:shd w:val="clear" w:color="auto" w:fill="auto"/>
            <w:tcMar>
              <w:top w:w="0" w:type="dxa"/>
              <w:bottom w:w="0" w:type="dxa"/>
            </w:tcMar>
            <w:vAlign w:val="center"/>
          </w:tcPr>
          <w:p w14:paraId="3F54D457"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p>
        </w:tc>
        <w:tc>
          <w:tcPr>
            <w:tcW w:w="412" w:type="pct"/>
            <w:shd w:val="clear" w:color="auto" w:fill="auto"/>
            <w:tcMar>
              <w:top w:w="0" w:type="dxa"/>
              <w:bottom w:w="0" w:type="dxa"/>
            </w:tcMar>
            <w:vAlign w:val="center"/>
          </w:tcPr>
          <w:p w14:paraId="3462E2A6"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p>
        </w:tc>
        <w:tc>
          <w:tcPr>
            <w:tcW w:w="432" w:type="pct"/>
            <w:shd w:val="clear" w:color="auto" w:fill="auto"/>
            <w:tcMar>
              <w:top w:w="0" w:type="dxa"/>
              <w:bottom w:w="0" w:type="dxa"/>
            </w:tcMar>
            <w:vAlign w:val="center"/>
          </w:tcPr>
          <w:p w14:paraId="509DDA5D"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52CEF661"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68CEC3D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w:t>
            </w:r>
          </w:p>
        </w:tc>
      </w:tr>
      <w:tr w:rsidR="00C45F11" w:rsidRPr="000B139B" w14:paraId="25D195E5" w14:textId="77777777" w:rsidTr="00DC4CF7">
        <w:tc>
          <w:tcPr>
            <w:tcW w:w="909" w:type="pct"/>
            <w:shd w:val="clear" w:color="auto" w:fill="auto"/>
            <w:tcMar>
              <w:top w:w="0" w:type="dxa"/>
              <w:bottom w:w="0" w:type="dxa"/>
            </w:tcMar>
            <w:vAlign w:val="center"/>
          </w:tcPr>
          <w:p w14:paraId="26CF378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Domestic investors</w:t>
            </w:r>
          </w:p>
        </w:tc>
        <w:tc>
          <w:tcPr>
            <w:tcW w:w="609" w:type="pct"/>
            <w:shd w:val="clear" w:color="auto" w:fill="auto"/>
            <w:tcMar>
              <w:top w:w="0" w:type="dxa"/>
              <w:bottom w:w="0" w:type="dxa"/>
            </w:tcMar>
            <w:vAlign w:val="center"/>
          </w:tcPr>
          <w:p w14:paraId="7692387D"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10,000,000</w:t>
            </w:r>
          </w:p>
        </w:tc>
        <w:tc>
          <w:tcPr>
            <w:tcW w:w="476" w:type="pct"/>
            <w:shd w:val="clear" w:color="auto" w:fill="auto"/>
            <w:tcMar>
              <w:top w:w="0" w:type="dxa"/>
              <w:bottom w:w="0" w:type="dxa"/>
            </w:tcMar>
            <w:vAlign w:val="center"/>
          </w:tcPr>
          <w:p w14:paraId="628E1CAD"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476" w:type="pct"/>
            <w:shd w:val="clear" w:color="auto" w:fill="auto"/>
            <w:tcMar>
              <w:top w:w="0" w:type="dxa"/>
              <w:bottom w:w="0" w:type="dxa"/>
            </w:tcMar>
            <w:vAlign w:val="center"/>
          </w:tcPr>
          <w:p w14:paraId="00EF101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474" w:type="pct"/>
            <w:shd w:val="clear" w:color="auto" w:fill="auto"/>
            <w:tcMar>
              <w:top w:w="0" w:type="dxa"/>
              <w:bottom w:w="0" w:type="dxa"/>
            </w:tcMar>
            <w:vAlign w:val="center"/>
          </w:tcPr>
          <w:p w14:paraId="6E47E8E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11,100</w:t>
            </w:r>
          </w:p>
        </w:tc>
        <w:tc>
          <w:tcPr>
            <w:tcW w:w="324" w:type="pct"/>
            <w:shd w:val="clear" w:color="auto" w:fill="auto"/>
            <w:tcMar>
              <w:top w:w="0" w:type="dxa"/>
              <w:bottom w:w="0" w:type="dxa"/>
            </w:tcMar>
            <w:vAlign w:val="center"/>
          </w:tcPr>
          <w:p w14:paraId="57BF2E3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p>
        </w:tc>
        <w:tc>
          <w:tcPr>
            <w:tcW w:w="412" w:type="pct"/>
            <w:shd w:val="clear" w:color="auto" w:fill="auto"/>
            <w:tcMar>
              <w:top w:w="0" w:type="dxa"/>
              <w:bottom w:w="0" w:type="dxa"/>
            </w:tcMar>
            <w:vAlign w:val="center"/>
          </w:tcPr>
          <w:p w14:paraId="5C5C5422"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p>
        </w:tc>
        <w:tc>
          <w:tcPr>
            <w:tcW w:w="432" w:type="pct"/>
            <w:shd w:val="clear" w:color="auto" w:fill="auto"/>
            <w:tcMar>
              <w:top w:w="0" w:type="dxa"/>
              <w:bottom w:w="0" w:type="dxa"/>
            </w:tcMar>
            <w:vAlign w:val="center"/>
          </w:tcPr>
          <w:p w14:paraId="5D1494F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79A47251"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34C2876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11.10%</w:t>
            </w:r>
          </w:p>
        </w:tc>
      </w:tr>
      <w:tr w:rsidR="00C45F11" w:rsidRPr="000B139B" w14:paraId="2E733ED2" w14:textId="77777777" w:rsidTr="00DC4CF7">
        <w:tc>
          <w:tcPr>
            <w:tcW w:w="909" w:type="pct"/>
            <w:shd w:val="clear" w:color="auto" w:fill="auto"/>
            <w:tcMar>
              <w:top w:w="0" w:type="dxa"/>
              <w:bottom w:w="0" w:type="dxa"/>
            </w:tcMar>
            <w:vAlign w:val="center"/>
          </w:tcPr>
          <w:p w14:paraId="7470485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Foreign investors, economic organizations with investors</w:t>
            </w:r>
          </w:p>
        </w:tc>
        <w:tc>
          <w:tcPr>
            <w:tcW w:w="609" w:type="pct"/>
            <w:shd w:val="clear" w:color="auto" w:fill="auto"/>
            <w:tcMar>
              <w:top w:w="0" w:type="dxa"/>
              <w:bottom w:w="0" w:type="dxa"/>
            </w:tcMar>
            <w:vAlign w:val="center"/>
          </w:tcPr>
          <w:p w14:paraId="1294C6EB"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10,000,000</w:t>
            </w:r>
          </w:p>
        </w:tc>
        <w:tc>
          <w:tcPr>
            <w:tcW w:w="476" w:type="pct"/>
            <w:shd w:val="clear" w:color="auto" w:fill="auto"/>
            <w:tcMar>
              <w:top w:w="0" w:type="dxa"/>
              <w:bottom w:w="0" w:type="dxa"/>
            </w:tcMar>
            <w:vAlign w:val="center"/>
          </w:tcPr>
          <w:p w14:paraId="709FE296"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76" w:type="pct"/>
            <w:shd w:val="clear" w:color="auto" w:fill="auto"/>
            <w:tcMar>
              <w:top w:w="0" w:type="dxa"/>
              <w:bottom w:w="0" w:type="dxa"/>
            </w:tcMar>
            <w:vAlign w:val="center"/>
          </w:tcPr>
          <w:p w14:paraId="40C47DB1"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74" w:type="pct"/>
            <w:shd w:val="clear" w:color="auto" w:fill="auto"/>
            <w:tcMar>
              <w:top w:w="0" w:type="dxa"/>
              <w:bottom w:w="0" w:type="dxa"/>
            </w:tcMar>
            <w:vAlign w:val="center"/>
          </w:tcPr>
          <w:p w14:paraId="4D16CA0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324" w:type="pct"/>
            <w:shd w:val="clear" w:color="auto" w:fill="auto"/>
            <w:tcMar>
              <w:top w:w="0" w:type="dxa"/>
              <w:bottom w:w="0" w:type="dxa"/>
            </w:tcMar>
            <w:vAlign w:val="center"/>
          </w:tcPr>
          <w:p w14:paraId="7E51BA32"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12" w:type="pct"/>
            <w:shd w:val="clear" w:color="auto" w:fill="auto"/>
            <w:tcMar>
              <w:top w:w="0" w:type="dxa"/>
              <w:bottom w:w="0" w:type="dxa"/>
            </w:tcMar>
            <w:vAlign w:val="center"/>
          </w:tcPr>
          <w:p w14:paraId="206104D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32" w:type="pct"/>
            <w:shd w:val="clear" w:color="auto" w:fill="auto"/>
            <w:tcMar>
              <w:top w:w="0" w:type="dxa"/>
              <w:bottom w:w="0" w:type="dxa"/>
            </w:tcMar>
            <w:vAlign w:val="center"/>
          </w:tcPr>
          <w:p w14:paraId="45030BD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20E8F96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24B4281A" w14:textId="77777777" w:rsidR="00C45F11" w:rsidRPr="000B139B" w:rsidRDefault="00DC4CF7" w:rsidP="000B139B">
            <w:pP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r>
      <w:tr w:rsidR="00C45F11" w:rsidRPr="000B139B" w14:paraId="157BAAD6" w14:textId="77777777" w:rsidTr="00DC4CF7">
        <w:tc>
          <w:tcPr>
            <w:tcW w:w="909" w:type="pct"/>
            <w:shd w:val="clear" w:color="auto" w:fill="auto"/>
            <w:tcMar>
              <w:top w:w="0" w:type="dxa"/>
              <w:bottom w:w="0" w:type="dxa"/>
            </w:tcMar>
            <w:vAlign w:val="center"/>
          </w:tcPr>
          <w:p w14:paraId="163DBBCF"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Total</w:t>
            </w:r>
          </w:p>
        </w:tc>
        <w:tc>
          <w:tcPr>
            <w:tcW w:w="609" w:type="pct"/>
            <w:shd w:val="clear" w:color="auto" w:fill="auto"/>
            <w:tcMar>
              <w:top w:w="0" w:type="dxa"/>
              <w:bottom w:w="0" w:type="dxa"/>
            </w:tcMar>
            <w:vAlign w:val="center"/>
          </w:tcPr>
          <w:p w14:paraId="595AAC8B" w14:textId="77777777" w:rsidR="00C45F11" w:rsidRPr="000B139B" w:rsidRDefault="00C45F11" w:rsidP="000B139B">
            <w:pPr>
              <w:tabs>
                <w:tab w:val="left" w:pos="432"/>
              </w:tabs>
              <w:spacing w:after="120" w:line="360" w:lineRule="auto"/>
              <w:jc w:val="both"/>
              <w:rPr>
                <w:rFonts w:ascii="Arial" w:eastAsia="Arial" w:hAnsi="Arial" w:cs="Arial"/>
                <w:color w:val="010000"/>
                <w:sz w:val="20"/>
                <w:szCs w:val="20"/>
              </w:rPr>
            </w:pPr>
          </w:p>
        </w:tc>
        <w:tc>
          <w:tcPr>
            <w:tcW w:w="476" w:type="pct"/>
            <w:shd w:val="clear" w:color="auto" w:fill="auto"/>
            <w:tcMar>
              <w:top w:w="0" w:type="dxa"/>
              <w:bottom w:w="0" w:type="dxa"/>
            </w:tcMar>
            <w:vAlign w:val="center"/>
          </w:tcPr>
          <w:p w14:paraId="069A411E"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w:t>
            </w:r>
          </w:p>
        </w:tc>
        <w:tc>
          <w:tcPr>
            <w:tcW w:w="476" w:type="pct"/>
            <w:shd w:val="clear" w:color="auto" w:fill="auto"/>
            <w:tcMar>
              <w:top w:w="0" w:type="dxa"/>
              <w:bottom w:w="0" w:type="dxa"/>
            </w:tcMar>
            <w:vAlign w:val="center"/>
          </w:tcPr>
          <w:p w14:paraId="66C0CF99"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w:t>
            </w:r>
          </w:p>
        </w:tc>
        <w:tc>
          <w:tcPr>
            <w:tcW w:w="474" w:type="pct"/>
            <w:shd w:val="clear" w:color="auto" w:fill="auto"/>
            <w:tcMar>
              <w:top w:w="0" w:type="dxa"/>
              <w:bottom w:w="0" w:type="dxa"/>
            </w:tcMar>
            <w:vAlign w:val="center"/>
          </w:tcPr>
          <w:p w14:paraId="0DE9072A"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100,000</w:t>
            </w:r>
          </w:p>
        </w:tc>
        <w:tc>
          <w:tcPr>
            <w:tcW w:w="324" w:type="pct"/>
            <w:shd w:val="clear" w:color="auto" w:fill="auto"/>
            <w:tcMar>
              <w:top w:w="0" w:type="dxa"/>
              <w:bottom w:w="0" w:type="dxa"/>
            </w:tcMar>
            <w:vAlign w:val="center"/>
          </w:tcPr>
          <w:p w14:paraId="3FC47CEC"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280</w:t>
            </w:r>
          </w:p>
        </w:tc>
        <w:tc>
          <w:tcPr>
            <w:tcW w:w="412" w:type="pct"/>
            <w:shd w:val="clear" w:color="auto" w:fill="auto"/>
            <w:tcMar>
              <w:top w:w="0" w:type="dxa"/>
              <w:bottom w:w="0" w:type="dxa"/>
            </w:tcMar>
            <w:vAlign w:val="center"/>
          </w:tcPr>
          <w:p w14:paraId="6FF93915"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280</w:t>
            </w:r>
          </w:p>
        </w:tc>
        <w:tc>
          <w:tcPr>
            <w:tcW w:w="432" w:type="pct"/>
            <w:shd w:val="clear" w:color="auto" w:fill="auto"/>
            <w:tcMar>
              <w:top w:w="0" w:type="dxa"/>
              <w:bottom w:w="0" w:type="dxa"/>
            </w:tcMar>
            <w:vAlign w:val="center"/>
          </w:tcPr>
          <w:p w14:paraId="470FC22E"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5" w:type="pct"/>
            <w:shd w:val="clear" w:color="auto" w:fill="auto"/>
            <w:tcMar>
              <w:top w:w="0" w:type="dxa"/>
              <w:bottom w:w="0" w:type="dxa"/>
            </w:tcMar>
            <w:vAlign w:val="center"/>
          </w:tcPr>
          <w:p w14:paraId="429939C0"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0</w:t>
            </w:r>
          </w:p>
        </w:tc>
        <w:tc>
          <w:tcPr>
            <w:tcW w:w="443" w:type="pct"/>
            <w:shd w:val="clear" w:color="auto" w:fill="auto"/>
            <w:tcMar>
              <w:top w:w="0" w:type="dxa"/>
              <w:bottom w:w="0" w:type="dxa"/>
            </w:tcMar>
            <w:vAlign w:val="center"/>
          </w:tcPr>
          <w:p w14:paraId="0B4948D4" w14:textId="77777777"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100%</w:t>
            </w:r>
          </w:p>
        </w:tc>
      </w:tr>
    </w:tbl>
    <w:p w14:paraId="44558199" w14:textId="415DC222"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In case of having the underwriting, demonstrate the distribution result</w:t>
      </w:r>
      <w:r w:rsidR="00D74682" w:rsidRPr="000B139B">
        <w:rPr>
          <w:rFonts w:ascii="Arial" w:hAnsi="Arial" w:cs="Arial"/>
          <w:color w:val="010000"/>
          <w:sz w:val="20"/>
          <w:szCs w:val="20"/>
        </w:rPr>
        <w:t xml:space="preserve">s </w:t>
      </w:r>
      <w:r w:rsidRPr="000B139B">
        <w:rPr>
          <w:rFonts w:ascii="Arial" w:hAnsi="Arial" w:cs="Arial"/>
          <w:color w:val="010000"/>
          <w:sz w:val="20"/>
          <w:szCs w:val="20"/>
        </w:rPr>
        <w:t>for the underwriting</w:t>
      </w:r>
      <w:r w:rsidR="00D74682" w:rsidRPr="000B139B">
        <w:rPr>
          <w:rFonts w:ascii="Arial" w:hAnsi="Arial" w:cs="Arial"/>
          <w:color w:val="010000"/>
          <w:sz w:val="20"/>
          <w:szCs w:val="20"/>
        </w:rPr>
        <w:t xml:space="preserve"> organizations</w:t>
      </w:r>
      <w:r w:rsidRPr="000B139B">
        <w:rPr>
          <w:rFonts w:ascii="Arial" w:hAnsi="Arial" w:cs="Arial"/>
          <w:color w:val="010000"/>
          <w:sz w:val="20"/>
          <w:szCs w:val="20"/>
        </w:rPr>
        <w:t xml:space="preserve"> in accordance with the agreement in contract (quantity, price, </w:t>
      </w:r>
      <w:r w:rsidR="00D74682" w:rsidRPr="000B139B">
        <w:rPr>
          <w:rFonts w:ascii="Arial" w:hAnsi="Arial" w:cs="Arial"/>
          <w:color w:val="010000"/>
          <w:sz w:val="20"/>
          <w:szCs w:val="20"/>
        </w:rPr>
        <w:t>in case there is a guarantee group, state each organization</w:t>
      </w:r>
      <w:r w:rsidRPr="000B139B">
        <w:rPr>
          <w:rFonts w:ascii="Arial" w:hAnsi="Arial" w:cs="Arial"/>
          <w:color w:val="010000"/>
          <w:sz w:val="20"/>
          <w:szCs w:val="20"/>
        </w:rPr>
        <w:t>)</w:t>
      </w:r>
      <w:r w:rsidR="00D74682" w:rsidRPr="000B139B">
        <w:rPr>
          <w:rFonts w:ascii="Arial" w:hAnsi="Arial" w:cs="Arial"/>
          <w:color w:val="010000"/>
          <w:sz w:val="20"/>
          <w:szCs w:val="20"/>
        </w:rPr>
        <w:t>:</w:t>
      </w:r>
      <w:r w:rsidRPr="000B139B">
        <w:rPr>
          <w:rFonts w:ascii="Arial" w:hAnsi="Arial" w:cs="Arial"/>
          <w:color w:val="010000"/>
          <w:sz w:val="20"/>
          <w:szCs w:val="20"/>
        </w:rPr>
        <w:t xml:space="preserve"> None</w:t>
      </w:r>
    </w:p>
    <w:p w14:paraId="1F59AAB8" w14:textId="77777777" w:rsidR="00C45F11" w:rsidRPr="000B139B" w:rsidRDefault="00DC4CF7" w:rsidP="000B139B">
      <w:pPr>
        <w:keepNext/>
        <w:numPr>
          <w:ilvl w:val="0"/>
          <w:numId w:val="5"/>
        </w:numPr>
        <w:pBdr>
          <w:top w:val="nil"/>
          <w:left w:val="nil"/>
          <w:bottom w:val="nil"/>
          <w:right w:val="nil"/>
          <w:between w:val="nil"/>
        </w:pBdr>
        <w:tabs>
          <w:tab w:val="left" w:pos="405"/>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Summary of offering results</w:t>
      </w:r>
    </w:p>
    <w:p w14:paraId="4DF70A0B" w14:textId="77777777" w:rsidR="00C45F11" w:rsidRPr="000B139B" w:rsidRDefault="00DC4CF7" w:rsidP="000B139B">
      <w:pPr>
        <w:numPr>
          <w:ilvl w:val="0"/>
          <w:numId w:val="3"/>
        </w:numPr>
        <w:pBdr>
          <w:top w:val="nil"/>
          <w:left w:val="nil"/>
          <w:bottom w:val="nil"/>
          <w:right w:val="nil"/>
          <w:between w:val="nil"/>
        </w:pBdr>
        <w:tabs>
          <w:tab w:val="left" w:pos="322"/>
          <w:tab w:val="left" w:pos="432"/>
        </w:tabs>
        <w:spacing w:after="120" w:line="360" w:lineRule="auto"/>
        <w:jc w:val="both"/>
        <w:rPr>
          <w:rFonts w:ascii="Arial" w:eastAsia="Arial" w:hAnsi="Arial" w:cs="Arial"/>
          <w:color w:val="010000"/>
          <w:sz w:val="20"/>
          <w:szCs w:val="20"/>
        </w:rPr>
      </w:pPr>
      <w:bookmarkStart w:id="0" w:name="_heading=h.gjdgxs"/>
      <w:bookmarkEnd w:id="0"/>
      <w:r w:rsidRPr="000B139B">
        <w:rPr>
          <w:rFonts w:ascii="Arial" w:hAnsi="Arial" w:cs="Arial"/>
          <w:color w:val="010000"/>
          <w:sz w:val="20"/>
          <w:szCs w:val="20"/>
        </w:rPr>
        <w:t>Total number of distributed bonds: 100,000 bonds, equivalent to 100% of total offered bonds.</w:t>
      </w:r>
    </w:p>
    <w:p w14:paraId="1949207D" w14:textId="77777777" w:rsidR="00C45F11" w:rsidRPr="000B139B" w:rsidRDefault="00DC4CF7" w:rsidP="000B139B">
      <w:pPr>
        <w:numPr>
          <w:ilvl w:val="0"/>
          <w:numId w:val="3"/>
        </w:numPr>
        <w:pBdr>
          <w:top w:val="nil"/>
          <w:left w:val="nil"/>
          <w:bottom w:val="nil"/>
          <w:right w:val="nil"/>
          <w:between w:val="nil"/>
        </w:pBdr>
        <w:tabs>
          <w:tab w:val="left" w:pos="337"/>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Total proceeds from the offering: VND 1,000,000,000,000.</w:t>
      </w:r>
    </w:p>
    <w:p w14:paraId="257022BE" w14:textId="77777777" w:rsidR="00C45F11" w:rsidRPr="000B139B" w:rsidRDefault="00DC4CF7" w:rsidP="000B139B">
      <w:pPr>
        <w:numPr>
          <w:ilvl w:val="0"/>
          <w:numId w:val="3"/>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lastRenderedPageBreak/>
        <w:t>Total expenses: VND 1,201,000,000.</w:t>
      </w:r>
    </w:p>
    <w:p w14:paraId="59F1A9DD" w14:textId="77777777" w:rsidR="00C45F11" w:rsidRPr="000B139B" w:rsidRDefault="00DC4CF7" w:rsidP="000B139B">
      <w:pPr>
        <w:numPr>
          <w:ilvl w:val="0"/>
          <w:numId w:val="2"/>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Underwriting fee (if any): VND 0.</w:t>
      </w:r>
    </w:p>
    <w:p w14:paraId="270E7122" w14:textId="77777777" w:rsidR="00C45F11" w:rsidRPr="000B139B" w:rsidRDefault="00DC4CF7" w:rsidP="000B139B">
      <w:pPr>
        <w:numPr>
          <w:ilvl w:val="0"/>
          <w:numId w:val="2"/>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Bond distribution fee (if any): VND 0.</w:t>
      </w:r>
    </w:p>
    <w:p w14:paraId="7016E3C4" w14:textId="77777777" w:rsidR="00C45F11" w:rsidRPr="000B139B" w:rsidRDefault="00DC4CF7" w:rsidP="000B139B">
      <w:pPr>
        <w:numPr>
          <w:ilvl w:val="0"/>
          <w:numId w:val="2"/>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Audit fee: VND 0.</w:t>
      </w:r>
    </w:p>
    <w:p w14:paraId="392CBBCE" w14:textId="77777777" w:rsidR="00C45F11" w:rsidRPr="000B139B" w:rsidRDefault="00DC4CF7" w:rsidP="000B139B">
      <w:pPr>
        <w:numPr>
          <w:ilvl w:val="0"/>
          <w:numId w:val="2"/>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Other expenses: VND 1,201,000,000.</w:t>
      </w:r>
    </w:p>
    <w:p w14:paraId="042DB35E" w14:textId="77777777" w:rsidR="00C45F11" w:rsidRPr="000B139B" w:rsidRDefault="00DC4CF7" w:rsidP="000B139B">
      <w:pPr>
        <w:numPr>
          <w:ilvl w:val="0"/>
          <w:numId w:val="3"/>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Net proceeds from the offering: VND 998,799,000,000.</w:t>
      </w:r>
    </w:p>
    <w:p w14:paraId="6846D558" w14:textId="77777777" w:rsidR="00C45F11" w:rsidRPr="000B139B" w:rsidRDefault="00DC4CF7" w:rsidP="000B139B">
      <w:pPr>
        <w:keepNext/>
        <w:numPr>
          <w:ilvl w:val="0"/>
          <w:numId w:val="5"/>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Capital structure of the Issuer after the offering</w:t>
      </w:r>
    </w:p>
    <w:p w14:paraId="007373A7" w14:textId="77777777" w:rsidR="00C45F11" w:rsidRPr="000B139B" w:rsidRDefault="00DC4CF7" w:rsidP="000B13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0B139B">
        <w:rPr>
          <w:rFonts w:ascii="Arial" w:hAnsi="Arial" w:cs="Arial"/>
          <w:i/>
          <w:color w:val="010000"/>
          <w:sz w:val="20"/>
          <w:szCs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61"/>
        <w:gridCol w:w="4651"/>
        <w:gridCol w:w="4637"/>
      </w:tblGrid>
      <w:tr w:rsidR="00C45F11" w:rsidRPr="000B139B" w14:paraId="11DE919A" w14:textId="77777777" w:rsidTr="00DC4CF7">
        <w:tc>
          <w:tcPr>
            <w:tcW w:w="1671" w:type="pct"/>
            <w:shd w:val="clear" w:color="auto" w:fill="auto"/>
            <w:tcMar>
              <w:top w:w="0" w:type="dxa"/>
              <w:bottom w:w="0" w:type="dxa"/>
            </w:tcMar>
            <w:vAlign w:val="center"/>
          </w:tcPr>
          <w:p w14:paraId="6828899C" w14:textId="44ED6153"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Target</w:t>
            </w:r>
          </w:p>
        </w:tc>
        <w:tc>
          <w:tcPr>
            <w:tcW w:w="1667" w:type="pct"/>
            <w:shd w:val="clear" w:color="auto" w:fill="auto"/>
            <w:tcMar>
              <w:top w:w="0" w:type="dxa"/>
              <w:bottom w:w="0" w:type="dxa"/>
            </w:tcMar>
            <w:vAlign w:val="center"/>
          </w:tcPr>
          <w:p w14:paraId="45AA0D09" w14:textId="45803328"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Before the offering (end of January 9, 2024)</w:t>
            </w:r>
          </w:p>
        </w:tc>
        <w:tc>
          <w:tcPr>
            <w:tcW w:w="1662" w:type="pct"/>
            <w:shd w:val="clear" w:color="auto" w:fill="auto"/>
            <w:tcMar>
              <w:top w:w="0" w:type="dxa"/>
              <w:bottom w:w="0" w:type="dxa"/>
            </w:tcMar>
            <w:vAlign w:val="center"/>
          </w:tcPr>
          <w:p w14:paraId="7992DABE" w14:textId="010214CF"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After the offering</w:t>
            </w:r>
            <w:r w:rsidR="00D74682" w:rsidRPr="000B139B">
              <w:rPr>
                <w:rFonts w:ascii="Arial" w:hAnsi="Arial" w:cs="Arial"/>
                <w:color w:val="010000"/>
                <w:sz w:val="20"/>
                <w:szCs w:val="20"/>
              </w:rPr>
              <w:t xml:space="preserve"> </w:t>
            </w:r>
            <w:r w:rsidRPr="000B139B">
              <w:rPr>
                <w:rFonts w:ascii="Arial" w:hAnsi="Arial" w:cs="Arial"/>
                <w:color w:val="010000"/>
                <w:sz w:val="20"/>
                <w:szCs w:val="20"/>
              </w:rPr>
              <w:t>(end of March 27, 2024)</w:t>
            </w:r>
          </w:p>
        </w:tc>
      </w:tr>
      <w:tr w:rsidR="00C45F11" w:rsidRPr="000B139B" w14:paraId="6AAF070E" w14:textId="77777777" w:rsidTr="00DC4CF7">
        <w:tc>
          <w:tcPr>
            <w:tcW w:w="1671" w:type="pct"/>
            <w:shd w:val="clear" w:color="auto" w:fill="auto"/>
            <w:tcMar>
              <w:top w:w="0" w:type="dxa"/>
              <w:bottom w:w="0" w:type="dxa"/>
            </w:tcMar>
            <w:vAlign w:val="center"/>
          </w:tcPr>
          <w:p w14:paraId="22848E0C" w14:textId="47E4FC86"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1</w:t>
            </w:r>
            <w:r w:rsidR="00D74682" w:rsidRPr="000B139B">
              <w:rPr>
                <w:rFonts w:ascii="Arial" w:hAnsi="Arial" w:cs="Arial"/>
                <w:color w:val="010000"/>
                <w:sz w:val="20"/>
                <w:szCs w:val="20"/>
              </w:rPr>
              <w:t>.</w:t>
            </w:r>
            <w:r w:rsidRPr="000B139B">
              <w:rPr>
                <w:rFonts w:ascii="Arial" w:hAnsi="Arial" w:cs="Arial"/>
                <w:color w:val="010000"/>
                <w:sz w:val="20"/>
                <w:szCs w:val="20"/>
              </w:rPr>
              <w:t xml:space="preserve"> Total debt</w:t>
            </w:r>
          </w:p>
        </w:tc>
        <w:tc>
          <w:tcPr>
            <w:tcW w:w="1667" w:type="pct"/>
            <w:shd w:val="clear" w:color="auto" w:fill="auto"/>
            <w:tcMar>
              <w:top w:w="0" w:type="dxa"/>
              <w:bottom w:w="0" w:type="dxa"/>
            </w:tcMar>
            <w:vAlign w:val="center"/>
          </w:tcPr>
          <w:p w14:paraId="524A38AD"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120,373,915</w:t>
            </w:r>
          </w:p>
        </w:tc>
        <w:tc>
          <w:tcPr>
            <w:tcW w:w="1662" w:type="pct"/>
            <w:shd w:val="clear" w:color="auto" w:fill="auto"/>
            <w:tcMar>
              <w:top w:w="0" w:type="dxa"/>
              <w:bottom w:w="0" w:type="dxa"/>
            </w:tcMar>
            <w:vAlign w:val="center"/>
          </w:tcPr>
          <w:p w14:paraId="046D2848"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127,632,569</w:t>
            </w:r>
          </w:p>
        </w:tc>
      </w:tr>
      <w:tr w:rsidR="00C45F11" w:rsidRPr="000B139B" w14:paraId="57AC11F7" w14:textId="77777777" w:rsidTr="00DC4CF7">
        <w:tc>
          <w:tcPr>
            <w:tcW w:w="1671" w:type="pct"/>
            <w:shd w:val="clear" w:color="auto" w:fill="auto"/>
            <w:tcMar>
              <w:top w:w="0" w:type="dxa"/>
              <w:bottom w:w="0" w:type="dxa"/>
            </w:tcMar>
            <w:vAlign w:val="center"/>
          </w:tcPr>
          <w:p w14:paraId="57AE8711" w14:textId="60B0E163" w:rsidR="00C45F11" w:rsidRPr="000B139B" w:rsidRDefault="00D74682"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 </w:t>
            </w:r>
            <w:r w:rsidR="00DC4CF7" w:rsidRPr="000B139B">
              <w:rPr>
                <w:rFonts w:ascii="Arial" w:hAnsi="Arial" w:cs="Arial"/>
                <w:color w:val="010000"/>
                <w:sz w:val="20"/>
                <w:szCs w:val="20"/>
              </w:rPr>
              <w:t>Short-term payable</w:t>
            </w:r>
          </w:p>
        </w:tc>
        <w:tc>
          <w:tcPr>
            <w:tcW w:w="1667" w:type="pct"/>
            <w:shd w:val="clear" w:color="auto" w:fill="auto"/>
            <w:tcMar>
              <w:top w:w="0" w:type="dxa"/>
              <w:bottom w:w="0" w:type="dxa"/>
            </w:tcMar>
            <w:vAlign w:val="center"/>
          </w:tcPr>
          <w:p w14:paraId="5D806EFE"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93,205,907</w:t>
            </w:r>
          </w:p>
        </w:tc>
        <w:tc>
          <w:tcPr>
            <w:tcW w:w="1662" w:type="pct"/>
            <w:shd w:val="clear" w:color="auto" w:fill="auto"/>
            <w:tcMar>
              <w:top w:w="0" w:type="dxa"/>
              <w:bottom w:w="0" w:type="dxa"/>
            </w:tcMar>
            <w:vAlign w:val="center"/>
          </w:tcPr>
          <w:p w14:paraId="232EDB9E"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99,677,053</w:t>
            </w:r>
          </w:p>
        </w:tc>
      </w:tr>
      <w:tr w:rsidR="00C45F11" w:rsidRPr="000B139B" w14:paraId="15150D8B" w14:textId="77777777" w:rsidTr="00DC4CF7">
        <w:tc>
          <w:tcPr>
            <w:tcW w:w="1671" w:type="pct"/>
            <w:shd w:val="clear" w:color="auto" w:fill="auto"/>
            <w:tcMar>
              <w:top w:w="0" w:type="dxa"/>
              <w:bottom w:w="0" w:type="dxa"/>
            </w:tcMar>
            <w:vAlign w:val="center"/>
          </w:tcPr>
          <w:p w14:paraId="7F3A1B33" w14:textId="72E3CD78" w:rsidR="00C45F11" w:rsidRPr="000B139B" w:rsidRDefault="00D74682"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 </w:t>
            </w:r>
            <w:r w:rsidR="00DC4CF7" w:rsidRPr="000B139B">
              <w:rPr>
                <w:rFonts w:ascii="Arial" w:hAnsi="Arial" w:cs="Arial"/>
                <w:color w:val="010000"/>
                <w:sz w:val="20"/>
                <w:szCs w:val="20"/>
              </w:rPr>
              <w:t>Long-term payables</w:t>
            </w:r>
          </w:p>
        </w:tc>
        <w:tc>
          <w:tcPr>
            <w:tcW w:w="1667" w:type="pct"/>
            <w:shd w:val="clear" w:color="auto" w:fill="auto"/>
            <w:tcMar>
              <w:top w:w="0" w:type="dxa"/>
              <w:bottom w:w="0" w:type="dxa"/>
            </w:tcMar>
            <w:vAlign w:val="center"/>
          </w:tcPr>
          <w:p w14:paraId="733277FF"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23,636,838</w:t>
            </w:r>
          </w:p>
        </w:tc>
        <w:tc>
          <w:tcPr>
            <w:tcW w:w="1662" w:type="pct"/>
            <w:shd w:val="clear" w:color="auto" w:fill="auto"/>
            <w:tcMar>
              <w:top w:w="0" w:type="dxa"/>
              <w:bottom w:w="0" w:type="dxa"/>
            </w:tcMar>
            <w:vAlign w:val="center"/>
          </w:tcPr>
          <w:p w14:paraId="7232773B"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23,424,346</w:t>
            </w:r>
          </w:p>
        </w:tc>
      </w:tr>
      <w:tr w:rsidR="00C45F11" w:rsidRPr="000B139B" w14:paraId="7F7B35E1" w14:textId="77777777" w:rsidTr="00DC4CF7">
        <w:tc>
          <w:tcPr>
            <w:tcW w:w="1671" w:type="pct"/>
            <w:shd w:val="clear" w:color="auto" w:fill="auto"/>
            <w:tcMar>
              <w:top w:w="0" w:type="dxa"/>
              <w:bottom w:w="0" w:type="dxa"/>
            </w:tcMar>
            <w:vAlign w:val="center"/>
          </w:tcPr>
          <w:p w14:paraId="63B551C1" w14:textId="605A3C1A" w:rsidR="00C45F11" w:rsidRPr="000B139B" w:rsidRDefault="00D74682"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 xml:space="preserve">- </w:t>
            </w:r>
            <w:r w:rsidR="00DC4CF7" w:rsidRPr="000B139B">
              <w:rPr>
                <w:rFonts w:ascii="Arial" w:hAnsi="Arial" w:cs="Arial"/>
                <w:color w:val="010000"/>
                <w:sz w:val="20"/>
                <w:szCs w:val="20"/>
              </w:rPr>
              <w:t>Bonds that have not matured</w:t>
            </w:r>
          </w:p>
        </w:tc>
        <w:tc>
          <w:tcPr>
            <w:tcW w:w="1667" w:type="pct"/>
            <w:shd w:val="clear" w:color="auto" w:fill="auto"/>
            <w:tcMar>
              <w:top w:w="0" w:type="dxa"/>
              <w:bottom w:w="0" w:type="dxa"/>
            </w:tcMar>
            <w:vAlign w:val="center"/>
          </w:tcPr>
          <w:p w14:paraId="3E0E4529"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3,531,170</w:t>
            </w:r>
          </w:p>
        </w:tc>
        <w:tc>
          <w:tcPr>
            <w:tcW w:w="1662" w:type="pct"/>
            <w:shd w:val="clear" w:color="auto" w:fill="auto"/>
            <w:tcMar>
              <w:top w:w="0" w:type="dxa"/>
              <w:bottom w:w="0" w:type="dxa"/>
            </w:tcMar>
            <w:vAlign w:val="center"/>
          </w:tcPr>
          <w:p w14:paraId="44800CE3"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4,531,170</w:t>
            </w:r>
          </w:p>
        </w:tc>
      </w:tr>
      <w:tr w:rsidR="00C45F11" w:rsidRPr="000B139B" w14:paraId="7059117F" w14:textId="77777777" w:rsidTr="00DC4CF7">
        <w:tc>
          <w:tcPr>
            <w:tcW w:w="1671" w:type="pct"/>
            <w:shd w:val="clear" w:color="auto" w:fill="auto"/>
            <w:tcMar>
              <w:top w:w="0" w:type="dxa"/>
              <w:bottom w:w="0" w:type="dxa"/>
            </w:tcMar>
            <w:vAlign w:val="center"/>
          </w:tcPr>
          <w:p w14:paraId="34CEFBA4" w14:textId="0ABD5293"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2</w:t>
            </w:r>
            <w:r w:rsidR="00D74682" w:rsidRPr="000B139B">
              <w:rPr>
                <w:rFonts w:ascii="Arial" w:hAnsi="Arial" w:cs="Arial"/>
                <w:color w:val="010000"/>
                <w:sz w:val="20"/>
                <w:szCs w:val="20"/>
              </w:rPr>
              <w:t>.</w:t>
            </w:r>
            <w:r w:rsidRPr="000B139B">
              <w:rPr>
                <w:rFonts w:ascii="Arial" w:hAnsi="Arial" w:cs="Arial"/>
                <w:color w:val="010000"/>
                <w:sz w:val="20"/>
                <w:szCs w:val="20"/>
              </w:rPr>
              <w:t xml:space="preserve"> Total owner</w:t>
            </w:r>
            <w:r w:rsidR="00D74682" w:rsidRPr="000B139B">
              <w:rPr>
                <w:rFonts w:ascii="Arial" w:hAnsi="Arial" w:cs="Arial"/>
                <w:color w:val="010000"/>
                <w:sz w:val="20"/>
                <w:szCs w:val="20"/>
              </w:rPr>
              <w:t xml:space="preserve">s’ </w:t>
            </w:r>
            <w:r w:rsidRPr="000B139B">
              <w:rPr>
                <w:rFonts w:ascii="Arial" w:hAnsi="Arial" w:cs="Arial"/>
                <w:color w:val="010000"/>
                <w:sz w:val="20"/>
                <w:szCs w:val="20"/>
              </w:rPr>
              <w:t>equity</w:t>
            </w:r>
          </w:p>
        </w:tc>
        <w:tc>
          <w:tcPr>
            <w:tcW w:w="1667" w:type="pct"/>
            <w:shd w:val="clear" w:color="auto" w:fill="auto"/>
            <w:tcMar>
              <w:top w:w="0" w:type="dxa"/>
              <w:bottom w:w="0" w:type="dxa"/>
            </w:tcMar>
            <w:vAlign w:val="center"/>
          </w:tcPr>
          <w:p w14:paraId="039882A5"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6,941,855</w:t>
            </w:r>
          </w:p>
        </w:tc>
        <w:tc>
          <w:tcPr>
            <w:tcW w:w="1662" w:type="pct"/>
            <w:shd w:val="clear" w:color="auto" w:fill="auto"/>
            <w:tcMar>
              <w:top w:w="0" w:type="dxa"/>
              <w:bottom w:w="0" w:type="dxa"/>
            </w:tcMar>
            <w:vAlign w:val="center"/>
          </w:tcPr>
          <w:p w14:paraId="0CD8B309"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7,028,653</w:t>
            </w:r>
          </w:p>
        </w:tc>
      </w:tr>
      <w:tr w:rsidR="00C45F11" w:rsidRPr="000B139B" w14:paraId="28860990" w14:textId="77777777" w:rsidTr="00DC4CF7">
        <w:tc>
          <w:tcPr>
            <w:tcW w:w="1671" w:type="pct"/>
            <w:shd w:val="clear" w:color="auto" w:fill="auto"/>
            <w:tcMar>
              <w:top w:w="0" w:type="dxa"/>
              <w:bottom w:w="0" w:type="dxa"/>
            </w:tcMar>
            <w:vAlign w:val="center"/>
          </w:tcPr>
          <w:p w14:paraId="24011BF1" w14:textId="74D7FD51" w:rsidR="00C45F11" w:rsidRPr="000B139B" w:rsidRDefault="00DC4CF7" w:rsidP="000B13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3</w:t>
            </w:r>
            <w:r w:rsidR="00D74682" w:rsidRPr="000B139B">
              <w:rPr>
                <w:rFonts w:ascii="Arial" w:hAnsi="Arial" w:cs="Arial"/>
                <w:color w:val="010000"/>
                <w:sz w:val="20"/>
                <w:szCs w:val="20"/>
              </w:rPr>
              <w:t>.</w:t>
            </w:r>
            <w:r w:rsidRPr="000B139B">
              <w:rPr>
                <w:rFonts w:ascii="Arial" w:hAnsi="Arial" w:cs="Arial"/>
                <w:color w:val="010000"/>
                <w:sz w:val="20"/>
                <w:szCs w:val="20"/>
              </w:rPr>
              <w:t xml:space="preserve"> </w:t>
            </w:r>
            <w:r w:rsidR="000B139B">
              <w:rPr>
                <w:rFonts w:ascii="Arial" w:hAnsi="Arial" w:cs="Arial"/>
                <w:color w:val="010000"/>
                <w:sz w:val="20"/>
                <w:szCs w:val="20"/>
              </w:rPr>
              <w:t>Debt ratio</w:t>
            </w:r>
            <w:r w:rsidRPr="000B139B">
              <w:rPr>
                <w:rFonts w:ascii="Arial" w:hAnsi="Arial" w:cs="Arial"/>
                <w:color w:val="010000"/>
                <w:sz w:val="20"/>
                <w:szCs w:val="20"/>
              </w:rPr>
              <w:t>/Owner</w:t>
            </w:r>
            <w:r w:rsidR="00D74682" w:rsidRPr="000B139B">
              <w:rPr>
                <w:rFonts w:ascii="Arial" w:hAnsi="Arial" w:cs="Arial"/>
                <w:color w:val="010000"/>
                <w:sz w:val="20"/>
                <w:szCs w:val="20"/>
              </w:rPr>
              <w:t>s’</w:t>
            </w:r>
            <w:r w:rsidRPr="000B139B">
              <w:rPr>
                <w:rFonts w:ascii="Arial" w:hAnsi="Arial" w:cs="Arial"/>
                <w:color w:val="010000"/>
                <w:sz w:val="20"/>
                <w:szCs w:val="20"/>
              </w:rPr>
              <w:t xml:space="preserve"> equity</w:t>
            </w:r>
          </w:p>
        </w:tc>
        <w:tc>
          <w:tcPr>
            <w:tcW w:w="1667" w:type="pct"/>
            <w:shd w:val="clear" w:color="auto" w:fill="auto"/>
            <w:tcMar>
              <w:top w:w="0" w:type="dxa"/>
              <w:bottom w:w="0" w:type="dxa"/>
            </w:tcMar>
            <w:vAlign w:val="center"/>
          </w:tcPr>
          <w:p w14:paraId="5999A81E" w14:textId="77777777"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17.34</w:t>
            </w:r>
          </w:p>
        </w:tc>
        <w:tc>
          <w:tcPr>
            <w:tcW w:w="1662" w:type="pct"/>
            <w:shd w:val="clear" w:color="auto" w:fill="auto"/>
            <w:tcMar>
              <w:top w:w="0" w:type="dxa"/>
              <w:bottom w:w="0" w:type="dxa"/>
            </w:tcMar>
            <w:vAlign w:val="center"/>
          </w:tcPr>
          <w:p w14:paraId="76D3703F" w14:textId="3232A8F4" w:rsidR="00C45F11" w:rsidRPr="000B139B" w:rsidRDefault="00DC4CF7" w:rsidP="000B13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B139B">
              <w:rPr>
                <w:rFonts w:ascii="Arial" w:hAnsi="Arial" w:cs="Arial"/>
                <w:color w:val="010000"/>
                <w:sz w:val="20"/>
                <w:szCs w:val="20"/>
              </w:rPr>
              <w:t>18.16</w:t>
            </w:r>
          </w:p>
        </w:tc>
      </w:tr>
    </w:tbl>
    <w:p w14:paraId="7366BC9E" w14:textId="77777777" w:rsidR="00D74682" w:rsidRPr="000B139B" w:rsidRDefault="00DC4CF7" w:rsidP="000B139B">
      <w:pPr>
        <w:keepNext/>
        <w:numPr>
          <w:ilvl w:val="0"/>
          <w:numId w:val="5"/>
        </w:numPr>
        <w:pBdr>
          <w:top w:val="nil"/>
          <w:left w:val="nil"/>
          <w:bottom w:val="nil"/>
          <w:right w:val="nil"/>
          <w:between w:val="nil"/>
        </w:pBdr>
        <w:tabs>
          <w:tab w:val="left" w:pos="432"/>
          <w:tab w:val="left" w:pos="9122"/>
        </w:tabs>
        <w:spacing w:after="120" w:line="360" w:lineRule="auto"/>
        <w:jc w:val="both"/>
        <w:rPr>
          <w:rFonts w:ascii="Arial" w:eastAsia="Arial" w:hAnsi="Arial" w:cs="Arial"/>
          <w:color w:val="010000"/>
          <w:sz w:val="20"/>
          <w:szCs w:val="20"/>
        </w:rPr>
      </w:pPr>
      <w:r w:rsidRPr="000B139B">
        <w:rPr>
          <w:rFonts w:ascii="Arial" w:hAnsi="Arial" w:cs="Arial"/>
          <w:color w:val="010000"/>
          <w:sz w:val="20"/>
          <w:szCs w:val="20"/>
        </w:rPr>
        <w:t>Attached documents</w:t>
      </w:r>
    </w:p>
    <w:p w14:paraId="250AA01B" w14:textId="77777777" w:rsidR="00D74682" w:rsidRPr="000B139B" w:rsidRDefault="00DC4CF7" w:rsidP="000B139B">
      <w:pPr>
        <w:pStyle w:val="ListParagraph"/>
        <w:keepNext/>
        <w:numPr>
          <w:ilvl w:val="0"/>
          <w:numId w:val="7"/>
        </w:numPr>
        <w:pBdr>
          <w:top w:val="nil"/>
          <w:left w:val="nil"/>
          <w:bottom w:val="nil"/>
          <w:right w:val="nil"/>
          <w:between w:val="nil"/>
        </w:pBdr>
        <w:tabs>
          <w:tab w:val="left" w:pos="432"/>
          <w:tab w:val="left" w:pos="9122"/>
        </w:tabs>
        <w:spacing w:after="120" w:line="360" w:lineRule="auto"/>
        <w:ind w:left="0" w:firstLine="0"/>
        <w:jc w:val="both"/>
        <w:rPr>
          <w:rFonts w:ascii="Arial" w:eastAsia="Arial" w:hAnsi="Arial" w:cs="Arial"/>
          <w:color w:val="010000"/>
          <w:sz w:val="20"/>
          <w:szCs w:val="20"/>
        </w:rPr>
      </w:pPr>
      <w:r w:rsidRPr="000B139B">
        <w:rPr>
          <w:rFonts w:ascii="Arial" w:hAnsi="Arial" w:cs="Arial"/>
          <w:color w:val="010000"/>
          <w:sz w:val="20"/>
          <w:szCs w:val="20"/>
        </w:rPr>
        <w:t>Written confirmation of the bank/foreign bank branch where the escrow account is opened about the proceeds from the issuance;</w:t>
      </w:r>
    </w:p>
    <w:p w14:paraId="2746E346" w14:textId="6DE92A5A" w:rsidR="00C45F11" w:rsidRPr="000B139B" w:rsidRDefault="00DC4CF7" w:rsidP="000B139B">
      <w:pPr>
        <w:pStyle w:val="ListParagraph"/>
        <w:keepNext/>
        <w:numPr>
          <w:ilvl w:val="0"/>
          <w:numId w:val="7"/>
        </w:numPr>
        <w:pBdr>
          <w:top w:val="nil"/>
          <w:left w:val="nil"/>
          <w:bottom w:val="nil"/>
          <w:right w:val="nil"/>
          <w:between w:val="nil"/>
        </w:pBdr>
        <w:tabs>
          <w:tab w:val="left" w:pos="432"/>
          <w:tab w:val="left" w:pos="9122"/>
        </w:tabs>
        <w:spacing w:after="120" w:line="360" w:lineRule="auto"/>
        <w:ind w:left="0" w:firstLine="0"/>
        <w:jc w:val="both"/>
        <w:rPr>
          <w:rFonts w:ascii="Arial" w:eastAsia="Arial" w:hAnsi="Arial" w:cs="Arial"/>
          <w:color w:val="010000"/>
          <w:sz w:val="20"/>
          <w:szCs w:val="20"/>
        </w:rPr>
      </w:pPr>
      <w:r w:rsidRPr="000B139B">
        <w:rPr>
          <w:rFonts w:ascii="Arial" w:hAnsi="Arial" w:cs="Arial"/>
          <w:color w:val="010000"/>
          <w:sz w:val="20"/>
          <w:szCs w:val="20"/>
        </w:rPr>
        <w:t>Other documents (</w:t>
      </w:r>
      <w:bookmarkStart w:id="1" w:name="_GoBack"/>
      <w:bookmarkEnd w:id="1"/>
      <w:r w:rsidRPr="000B139B">
        <w:rPr>
          <w:rFonts w:ascii="Arial" w:hAnsi="Arial" w:cs="Arial"/>
          <w:color w:val="010000"/>
          <w:sz w:val="20"/>
          <w:szCs w:val="20"/>
        </w:rPr>
        <w:t>if any).</w:t>
      </w:r>
    </w:p>
    <w:sectPr w:rsidR="00C45F11" w:rsidRPr="000B139B" w:rsidSect="002E65B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2EC2"/>
    <w:multiLevelType w:val="multilevel"/>
    <w:tmpl w:val="14EC07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B94D7C"/>
    <w:multiLevelType w:val="multilevel"/>
    <w:tmpl w:val="BC36E4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117A82"/>
    <w:multiLevelType w:val="multilevel"/>
    <w:tmpl w:val="425054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5C057A"/>
    <w:multiLevelType w:val="multilevel"/>
    <w:tmpl w:val="715AF5B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A63053"/>
    <w:multiLevelType w:val="multilevel"/>
    <w:tmpl w:val="2CE848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9B0B2E"/>
    <w:multiLevelType w:val="multilevel"/>
    <w:tmpl w:val="233AEC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DE16283"/>
    <w:multiLevelType w:val="hybridMultilevel"/>
    <w:tmpl w:val="E86E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11"/>
    <w:rsid w:val="000B139B"/>
    <w:rsid w:val="002E65BD"/>
    <w:rsid w:val="004C5299"/>
    <w:rsid w:val="00C45F11"/>
    <w:rsid w:val="00D74682"/>
    <w:rsid w:val="00DC4C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20B"/>
  <w15:docId w15:val="{6356C2E6-46EC-4B01-8571-A21DFD3B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Microsoft Sans Serif" w:eastAsia="Microsoft Sans Serif" w:hAnsi="Microsoft Sans Serif" w:cs="Microsoft Sans Serif"/>
      <w:b w:val="0"/>
      <w:bCs w:val="0"/>
      <w:i w:val="0"/>
      <w:iCs w:val="0"/>
      <w:smallCaps w:val="0"/>
      <w:strike w:val="0"/>
      <w:sz w:val="18"/>
      <w:szCs w:val="18"/>
      <w:u w:val="none"/>
      <w:shd w:val="clear" w:color="auto" w:fill="auto"/>
    </w:rPr>
  </w:style>
  <w:style w:type="character" w:customStyle="1" w:styleId="Tiu2">
    <w:name w:val="Tiêu đề #2_"/>
    <w:basedOn w:val="DefaultParagraphFont"/>
    <w:link w:val="Tiu20"/>
    <w:rPr>
      <w:rFonts w:ascii="Microsoft Sans Serif" w:eastAsia="Microsoft Sans Serif" w:hAnsi="Microsoft Sans Serif" w:cs="Microsoft Sans Serif"/>
      <w:b/>
      <w:bCs/>
      <w:i w:val="0"/>
      <w:iCs w:val="0"/>
      <w:smallCaps w:val="0"/>
      <w:strike w:val="0"/>
      <w:sz w:val="18"/>
      <w:szCs w:val="18"/>
      <w:u w:val="none"/>
      <w:shd w:val="clear" w:color="auto" w:fill="auto"/>
    </w:rPr>
  </w:style>
  <w:style w:type="character" w:customStyle="1" w:styleId="Tiu1">
    <w:name w:val="Tiêu đề #1_"/>
    <w:basedOn w:val="DefaultParagraphFont"/>
    <w:link w:val="Tiu10"/>
    <w:rPr>
      <w:rFonts w:ascii="Microsoft Sans Serif" w:eastAsia="Microsoft Sans Serif" w:hAnsi="Microsoft Sans Serif" w:cs="Microsoft Sans Serif"/>
      <w:b/>
      <w:bCs/>
      <w:i w:val="0"/>
      <w:iCs w:val="0"/>
      <w:smallCaps w:val="0"/>
      <w:strike w:val="0"/>
      <w:sz w:val="22"/>
      <w:szCs w:val="22"/>
      <w:u w:val="none"/>
      <w:shd w:val="clear" w:color="auto" w:fill="auto"/>
    </w:rPr>
  </w:style>
  <w:style w:type="character" w:customStyle="1" w:styleId="Khc">
    <w:name w:val="Khác_"/>
    <w:basedOn w:val="DefaultParagraphFont"/>
    <w:link w:val="Khc0"/>
    <w:rPr>
      <w:rFonts w:ascii="Microsoft Sans Serif" w:eastAsia="Microsoft Sans Serif" w:hAnsi="Microsoft Sans Serif" w:cs="Microsoft Sans Serif"/>
      <w:b w:val="0"/>
      <w:bCs w:val="0"/>
      <w:i w:val="0"/>
      <w:iCs w:val="0"/>
      <w:smallCaps w:val="0"/>
      <w:strike w:val="0"/>
      <w:sz w:val="18"/>
      <w:szCs w:val="18"/>
      <w:u w:val="none"/>
      <w:shd w:val="clear" w:color="auto" w:fill="auto"/>
    </w:rPr>
  </w:style>
  <w:style w:type="character" w:customStyle="1" w:styleId="Chthchbng">
    <w:name w:val="Chú thích bảng_"/>
    <w:basedOn w:val="DefaultParagraphFont"/>
    <w:link w:val="Chthchbng0"/>
    <w:rPr>
      <w:rFonts w:ascii="Microsoft Sans Serif" w:eastAsia="Microsoft Sans Serif" w:hAnsi="Microsoft Sans Serif" w:cs="Microsoft Sans Serif"/>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446" w:lineRule="auto"/>
    </w:pPr>
    <w:rPr>
      <w:rFonts w:ascii="Microsoft Sans Serif" w:eastAsia="Microsoft Sans Serif" w:hAnsi="Microsoft Sans Serif" w:cs="Microsoft Sans Serif"/>
      <w:sz w:val="18"/>
      <w:szCs w:val="18"/>
    </w:rPr>
  </w:style>
  <w:style w:type="paragraph" w:customStyle="1" w:styleId="Tiu20">
    <w:name w:val="Tiêu đề #2"/>
    <w:basedOn w:val="Normal"/>
    <w:link w:val="Tiu2"/>
    <w:pPr>
      <w:spacing w:line="341" w:lineRule="auto"/>
      <w:outlineLvl w:val="1"/>
    </w:pPr>
    <w:rPr>
      <w:rFonts w:ascii="Microsoft Sans Serif" w:eastAsia="Microsoft Sans Serif" w:hAnsi="Microsoft Sans Serif" w:cs="Microsoft Sans Serif"/>
      <w:b/>
      <w:bCs/>
      <w:sz w:val="18"/>
      <w:szCs w:val="18"/>
    </w:rPr>
  </w:style>
  <w:style w:type="paragraph" w:customStyle="1" w:styleId="Tiu10">
    <w:name w:val="Tiêu đề #1"/>
    <w:basedOn w:val="Normal"/>
    <w:link w:val="Tiu1"/>
    <w:pPr>
      <w:jc w:val="center"/>
      <w:outlineLvl w:val="0"/>
    </w:pPr>
    <w:rPr>
      <w:rFonts w:ascii="Microsoft Sans Serif" w:eastAsia="Microsoft Sans Serif" w:hAnsi="Microsoft Sans Serif" w:cs="Microsoft Sans Serif"/>
      <w:b/>
      <w:bCs/>
      <w:sz w:val="22"/>
      <w:szCs w:val="22"/>
    </w:rPr>
  </w:style>
  <w:style w:type="paragraph" w:customStyle="1" w:styleId="Khc0">
    <w:name w:val="Khác"/>
    <w:basedOn w:val="Normal"/>
    <w:link w:val="Khc"/>
    <w:pPr>
      <w:spacing w:line="446" w:lineRule="auto"/>
    </w:pPr>
    <w:rPr>
      <w:rFonts w:ascii="Microsoft Sans Serif" w:eastAsia="Microsoft Sans Serif" w:hAnsi="Microsoft Sans Serif" w:cs="Microsoft Sans Serif"/>
      <w:sz w:val="18"/>
      <w:szCs w:val="18"/>
    </w:rPr>
  </w:style>
  <w:style w:type="paragraph" w:customStyle="1" w:styleId="Chthchbng0">
    <w:name w:val="Chú thích bảng"/>
    <w:basedOn w:val="Normal"/>
    <w:link w:val="Chthchbng"/>
    <w:rPr>
      <w:rFonts w:ascii="Microsoft Sans Serif" w:eastAsia="Microsoft Sans Serif" w:hAnsi="Microsoft Sans Serif" w:cs="Microsoft Sans Serif"/>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7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WT7Fs9/pLLSdkT7hJ2nZkbJBTQ==">CgMxLjAyCGguZ2pkZ3hzOAByITFnRnJKaUVGMFZNdEc2eVI2LXAxQklnM2ZtQTh2cjQyRA==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2024-04-05T04:19:00Z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5fe28eebb189c7d5699af7136938c63bbf8a4142080f2fa7c2f96979b7be489b</vt:lpwstr>
  </property>
</Properties>
</file>