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1E" w:rsidRPr="00847D1E" w:rsidRDefault="00847D1E" w:rsidP="00847D1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t>Decision on continued trading restriction and Notice on stock status</w:t>
      </w:r>
    </w:p>
    <w:bookmarkEnd w:id="0"/>
    <w:p w:rsidR="00847D1E" w:rsidRPr="00847D1E" w:rsidRDefault="00847D1E" w:rsidP="00847D1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7D1E" w:rsidRPr="00847D1E" w:rsidRDefault="00847D1E" w:rsidP="00847D1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t>Decision on continued alert on the UPCoM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Following Decision No. 299/QD-SGDHN dated April 04, 2024, HNX announces the continued trading restriction of VTI stock as follows: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Issuer: Textile-Garment Import-Export and Production Joint Stock Corporation (VINATEXIMEX)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Securities type: common stock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Stock code: VTI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Base of review: Audited Financial Statements 2023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Reason: The company’s equity is negative on the Annual Financial Statements 2023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Applicable law(s): Point a Section 1 Article 34 of the Regulation attached to Decision No. 34/QD-HDTV dated November 16, 2022 by the Board of Members of the Vietnam Stock Exchange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Within 15 days from the date the stock is put on alert as prescribed in Article 1 of this Decision, VTI shall send a document to the HNX to explain the cause and provide a remedy.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This Decision replaces Decision No. 320/QD-SGDHN dated April 05, 2023.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======================================================================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Notice of stock status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On April 04, 2024, HNX announces the status of Textile-Garment Import-Export and Production Joint Stock Corporation (VINATEXIMEX)’s shares (stock code: VTI) as follows:</w:t>
      </w:r>
      <w:r w:rsidRPr="00847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VTI shares are under trading restriction as the company’s equity is negative on the Annual Financial Statements 2023 as prescribed in Point a Section 1 Article 34 of the Regulation attached to Decision No. 34/QD-HDTV dated November 16, 2022 by the Vietnam Stock Exchange.</w:t>
      </w:r>
    </w:p>
    <w:p w:rsidR="00CE5DA7" w:rsidRDefault="00847D1E"/>
    <w:sectPr w:rsidR="00CE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1E"/>
    <w:rsid w:val="00136CC6"/>
    <w:rsid w:val="003507D4"/>
    <w:rsid w:val="00847D1E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6AF9-7BC5-4FB2-8947-B7878D6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1</cp:revision>
  <dcterms:created xsi:type="dcterms:W3CDTF">2024-04-08T10:30:00Z</dcterms:created>
  <dcterms:modified xsi:type="dcterms:W3CDTF">2024-04-08T10:30:00Z</dcterms:modified>
</cp:coreProperties>
</file>