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EBDA" w14:textId="77777777" w:rsidR="009800C7" w:rsidRPr="0055266B" w:rsidRDefault="0055266B" w:rsidP="00D146E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5266B">
        <w:rPr>
          <w:rFonts w:ascii="Arial" w:hAnsi="Arial" w:cs="Arial"/>
          <w:b/>
          <w:color w:val="010000"/>
          <w:sz w:val="20"/>
        </w:rPr>
        <w:t>GND: Board Resolution</w:t>
      </w:r>
    </w:p>
    <w:p w14:paraId="0EADEA2F" w14:textId="475DF4B8" w:rsidR="009800C7" w:rsidRPr="0055266B" w:rsidRDefault="0055266B" w:rsidP="00D14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 xml:space="preserve">On May 8, 2024, Dong </w:t>
      </w:r>
      <w:proofErr w:type="spellStart"/>
      <w:r w:rsidRPr="0055266B">
        <w:rPr>
          <w:rFonts w:ascii="Arial" w:hAnsi="Arial" w:cs="Arial"/>
          <w:color w:val="010000"/>
          <w:sz w:val="20"/>
        </w:rPr>
        <w:t>Nai</w:t>
      </w:r>
      <w:proofErr w:type="spellEnd"/>
      <w:r w:rsidRPr="0055266B">
        <w:rPr>
          <w:rFonts w:ascii="Arial" w:hAnsi="Arial" w:cs="Arial"/>
          <w:color w:val="010000"/>
          <w:sz w:val="20"/>
        </w:rPr>
        <w:t xml:space="preserve"> Brick </w:t>
      </w:r>
      <w:proofErr w:type="gramStart"/>
      <w:r w:rsidRPr="0055266B">
        <w:rPr>
          <w:rFonts w:ascii="Arial" w:hAnsi="Arial" w:cs="Arial"/>
          <w:color w:val="010000"/>
          <w:sz w:val="20"/>
        </w:rPr>
        <w:t>And</w:t>
      </w:r>
      <w:proofErr w:type="gramEnd"/>
      <w:r w:rsidRPr="0055266B">
        <w:rPr>
          <w:rFonts w:ascii="Arial" w:hAnsi="Arial" w:cs="Arial"/>
          <w:color w:val="010000"/>
          <w:sz w:val="20"/>
        </w:rPr>
        <w:t xml:space="preserve"> Tile Corporation announced Resolution No. 20-2024/NQ-HDQT on reporting production and business results for Q1/2024 and dividend payment </w:t>
      </w:r>
      <w:r w:rsidR="001B3FF1" w:rsidRPr="0055266B">
        <w:rPr>
          <w:rFonts w:ascii="Arial" w:hAnsi="Arial" w:cs="Arial"/>
          <w:color w:val="010000"/>
          <w:sz w:val="20"/>
        </w:rPr>
        <w:t>for the last round</w:t>
      </w:r>
      <w:r w:rsidRPr="0055266B">
        <w:rPr>
          <w:rFonts w:ascii="Arial" w:hAnsi="Arial" w:cs="Arial"/>
          <w:color w:val="010000"/>
          <w:sz w:val="20"/>
        </w:rPr>
        <w:t xml:space="preserve"> of 2023 as follows: </w:t>
      </w:r>
    </w:p>
    <w:p w14:paraId="40FDB456" w14:textId="77777777" w:rsidR="009800C7" w:rsidRPr="0055266B" w:rsidRDefault="0055266B" w:rsidP="00D14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5266B">
        <w:rPr>
          <w:rFonts w:ascii="Arial" w:hAnsi="Arial" w:cs="Arial"/>
          <w:color w:val="010000"/>
          <w:sz w:val="20"/>
        </w:rPr>
        <w:t>‎‎Article 1. Approve the Report on the production and business results in the first 3 months of 2024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95"/>
        <w:gridCol w:w="1023"/>
        <w:gridCol w:w="1524"/>
        <w:gridCol w:w="1279"/>
        <w:gridCol w:w="1437"/>
        <w:gridCol w:w="1459"/>
      </w:tblGrid>
      <w:tr w:rsidR="009800C7" w:rsidRPr="0055266B" w14:paraId="0DB161A9" w14:textId="77777777" w:rsidTr="00A07132">
        <w:tc>
          <w:tcPr>
            <w:tcW w:w="1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C27F9" w14:textId="52228270" w:rsidR="009800C7" w:rsidRPr="0055266B" w:rsidRDefault="000D7AF7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66867" w14:textId="5305560E" w:rsidR="009800C7" w:rsidRPr="0055266B" w:rsidRDefault="000D7AF7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0154E" w14:textId="725DF893" w:rsidR="009800C7" w:rsidRPr="0055266B" w:rsidRDefault="000D7AF7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E1BAB" w14:textId="5DF54CFC" w:rsidR="009800C7" w:rsidRPr="0055266B" w:rsidRDefault="000D7AF7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829C9" w14:textId="2C9DB341" w:rsidR="009800C7" w:rsidRPr="0055266B" w:rsidRDefault="000D7AF7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Results/Plan (%) 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80CD7" w14:textId="7FEBFFBF" w:rsidR="009800C7" w:rsidRPr="0055266B" w:rsidRDefault="000D7AF7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Compared to</w:t>
            </w:r>
            <w:r w:rsidR="0055266B" w:rsidRPr="0055266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5266B">
              <w:rPr>
                <w:rFonts w:ascii="Arial" w:hAnsi="Arial" w:cs="Arial"/>
                <w:color w:val="010000"/>
                <w:sz w:val="20"/>
              </w:rPr>
              <w:t xml:space="preserve">the first 3 months of </w:t>
            </w:r>
            <w:r w:rsidR="0055266B" w:rsidRPr="0055266B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9800C7" w:rsidRPr="0055266B" w14:paraId="5F6118DE" w14:textId="77777777" w:rsidTr="00A07132">
        <w:tc>
          <w:tcPr>
            <w:tcW w:w="1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C43CB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1B3D0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C1013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250,010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176C0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59,255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59964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23.70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A4B8C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98.73</w:t>
            </w:r>
          </w:p>
        </w:tc>
      </w:tr>
      <w:tr w:rsidR="009800C7" w:rsidRPr="0055266B" w14:paraId="61B783A7" w14:textId="77777777" w:rsidTr="00A07132">
        <w:tc>
          <w:tcPr>
            <w:tcW w:w="1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3E2C7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Profit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FB5DF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11417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26,050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C754B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3,210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CAE43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12.32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62F75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48.70</w:t>
            </w:r>
          </w:p>
        </w:tc>
      </w:tr>
      <w:tr w:rsidR="009800C7" w:rsidRPr="0055266B" w14:paraId="3FE4F9F0" w14:textId="77777777" w:rsidTr="00A07132">
        <w:tc>
          <w:tcPr>
            <w:tcW w:w="1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289F0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2A816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71D0C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23,965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23305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5,658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C229B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23.61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85B58" w14:textId="77777777" w:rsidR="009800C7" w:rsidRPr="0055266B" w:rsidRDefault="0055266B" w:rsidP="00D1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266B">
              <w:rPr>
                <w:rFonts w:ascii="Arial" w:hAnsi="Arial" w:cs="Arial"/>
                <w:color w:val="010000"/>
                <w:sz w:val="20"/>
              </w:rPr>
              <w:t>87.72</w:t>
            </w:r>
          </w:p>
        </w:tc>
      </w:tr>
    </w:tbl>
    <w:p w14:paraId="4E554427" w14:textId="77777777" w:rsidR="009800C7" w:rsidRPr="0055266B" w:rsidRDefault="0055266B" w:rsidP="00D14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>Results of implementing the production and business plan for the first 3 months of 2024:</w:t>
      </w:r>
    </w:p>
    <w:p w14:paraId="38246F73" w14:textId="77777777" w:rsidR="009800C7" w:rsidRPr="0055266B" w:rsidRDefault="0055266B" w:rsidP="00D146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>Revenue: Achieve 23.70% of the plan; compared to the same period achieved: 98.73%</w:t>
      </w:r>
    </w:p>
    <w:p w14:paraId="68D45C1A" w14:textId="77777777" w:rsidR="009800C7" w:rsidRPr="0055266B" w:rsidRDefault="0055266B" w:rsidP="00D146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>Profit: Production and business: Achieve 12.32% of the plan; compared to the same period achieved: 48.70%</w:t>
      </w:r>
    </w:p>
    <w:p w14:paraId="35DE3CAB" w14:textId="2B3AE512" w:rsidR="009800C7" w:rsidRPr="0055266B" w:rsidRDefault="0055266B" w:rsidP="00D14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>Article 2: Approve the Report on the results of the Annual General Meeting 2024</w:t>
      </w:r>
    </w:p>
    <w:p w14:paraId="29CA4330" w14:textId="0D729C6A" w:rsidR="009800C7" w:rsidRPr="0055266B" w:rsidRDefault="0055266B" w:rsidP="00D14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>On April 25, 2024, the company successfully organized the Annual General Meeting 2024, issued the Minute</w:t>
      </w:r>
      <w:r>
        <w:rPr>
          <w:rFonts w:ascii="Arial" w:hAnsi="Arial" w:cs="Arial"/>
          <w:color w:val="010000"/>
          <w:sz w:val="20"/>
        </w:rPr>
        <w:t>s</w:t>
      </w:r>
      <w:r w:rsidRPr="0055266B">
        <w:rPr>
          <w:rFonts w:ascii="Arial" w:hAnsi="Arial" w:cs="Arial"/>
          <w:color w:val="010000"/>
          <w:sz w:val="20"/>
        </w:rPr>
        <w:t xml:space="preserve"> and the </w:t>
      </w:r>
      <w:r>
        <w:rPr>
          <w:rFonts w:ascii="Arial" w:hAnsi="Arial" w:cs="Arial"/>
          <w:color w:val="010000"/>
          <w:sz w:val="20"/>
        </w:rPr>
        <w:t>General Mandate</w:t>
      </w:r>
      <w:r w:rsidRPr="0055266B">
        <w:rPr>
          <w:rFonts w:ascii="Arial" w:hAnsi="Arial" w:cs="Arial"/>
          <w:color w:val="010000"/>
          <w:sz w:val="20"/>
        </w:rPr>
        <w:t xml:space="preserve"> of the Meeting and sent them to shareholders and authorities in accordance with regulations.</w:t>
      </w:r>
    </w:p>
    <w:p w14:paraId="4F8064D3" w14:textId="68D49185" w:rsidR="009800C7" w:rsidRPr="0055266B" w:rsidRDefault="0055266B" w:rsidP="00D14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>Article 3: Approve the last round of dividend payment of 2023</w:t>
      </w:r>
    </w:p>
    <w:p w14:paraId="0BA8CB12" w14:textId="3D946C81" w:rsidR="009800C7" w:rsidRPr="0055266B" w:rsidRDefault="0055266B" w:rsidP="00D14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>Implement the Annual General Mandate 2024, and the last round of dividend payment 2023 as follows:</w:t>
      </w:r>
    </w:p>
    <w:p w14:paraId="658331E7" w14:textId="77777777" w:rsidR="009800C7" w:rsidRPr="0055266B" w:rsidRDefault="0055266B" w:rsidP="00D14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>June 6, 2024 is the record date.</w:t>
      </w:r>
    </w:p>
    <w:p w14:paraId="751E45E1" w14:textId="77777777" w:rsidR="009800C7" w:rsidRPr="0055266B" w:rsidRDefault="0055266B" w:rsidP="00D14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>June 20, 2024 is the expected date of dividend payment.</w:t>
      </w:r>
    </w:p>
    <w:p w14:paraId="256BB636" w14:textId="6DC76AE4" w:rsidR="009800C7" w:rsidRPr="0055266B" w:rsidRDefault="0055266B" w:rsidP="00D14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>Article 4: This</w:t>
      </w:r>
      <w:r w:rsidR="00D146E3">
        <w:rPr>
          <w:rFonts w:ascii="Arial" w:hAnsi="Arial" w:cs="Arial"/>
          <w:color w:val="010000"/>
          <w:sz w:val="20"/>
        </w:rPr>
        <w:t xml:space="preserve"> Board</w:t>
      </w:r>
      <w:bookmarkStart w:id="1" w:name="_GoBack"/>
      <w:bookmarkEnd w:id="1"/>
      <w:r w:rsidRPr="0055266B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3039F7A1" w14:textId="099545B8" w:rsidR="009800C7" w:rsidRPr="0055266B" w:rsidRDefault="0055266B" w:rsidP="00D14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66B">
        <w:rPr>
          <w:rFonts w:ascii="Arial" w:hAnsi="Arial" w:cs="Arial"/>
          <w:color w:val="010000"/>
          <w:sz w:val="20"/>
        </w:rPr>
        <w:t xml:space="preserve">Members of the Board of Directors, </w:t>
      </w:r>
      <w:r w:rsidR="00D146E3">
        <w:rPr>
          <w:rFonts w:ascii="Arial" w:hAnsi="Arial" w:cs="Arial"/>
          <w:color w:val="010000"/>
          <w:sz w:val="20"/>
        </w:rPr>
        <w:t>Executive Board</w:t>
      </w:r>
      <w:r w:rsidRPr="0055266B">
        <w:rPr>
          <w:rFonts w:ascii="Arial" w:hAnsi="Arial" w:cs="Arial"/>
          <w:color w:val="010000"/>
          <w:sz w:val="20"/>
        </w:rPr>
        <w:t xml:space="preserve"> and relevant departments of Dong </w:t>
      </w:r>
      <w:proofErr w:type="spellStart"/>
      <w:r w:rsidRPr="0055266B">
        <w:rPr>
          <w:rFonts w:ascii="Arial" w:hAnsi="Arial" w:cs="Arial"/>
          <w:color w:val="010000"/>
          <w:sz w:val="20"/>
        </w:rPr>
        <w:t>Nai</w:t>
      </w:r>
      <w:proofErr w:type="spellEnd"/>
      <w:r w:rsidRPr="0055266B">
        <w:rPr>
          <w:rFonts w:ascii="Arial" w:hAnsi="Arial" w:cs="Arial"/>
          <w:color w:val="010000"/>
          <w:sz w:val="20"/>
        </w:rPr>
        <w:t xml:space="preserve"> Brick </w:t>
      </w:r>
      <w:proofErr w:type="gramStart"/>
      <w:r w:rsidRPr="0055266B">
        <w:rPr>
          <w:rFonts w:ascii="Arial" w:hAnsi="Arial" w:cs="Arial"/>
          <w:color w:val="010000"/>
          <w:sz w:val="20"/>
        </w:rPr>
        <w:t>And</w:t>
      </w:r>
      <w:proofErr w:type="gramEnd"/>
      <w:r w:rsidRPr="0055266B">
        <w:rPr>
          <w:rFonts w:ascii="Arial" w:hAnsi="Arial" w:cs="Arial"/>
          <w:color w:val="010000"/>
          <w:sz w:val="20"/>
        </w:rPr>
        <w:t xml:space="preserve"> Tile Corporation are responsible for the implementation of this Resolution.</w:t>
      </w:r>
    </w:p>
    <w:sectPr w:rsidR="009800C7" w:rsidRPr="0055266B" w:rsidSect="00A0713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50F"/>
    <w:multiLevelType w:val="multilevel"/>
    <w:tmpl w:val="12FCCB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49377B"/>
    <w:multiLevelType w:val="multilevel"/>
    <w:tmpl w:val="E9B446B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BE3AA2"/>
    <w:multiLevelType w:val="multilevel"/>
    <w:tmpl w:val="3AFAE190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C7"/>
    <w:rsid w:val="000D7AF7"/>
    <w:rsid w:val="001B3FF1"/>
    <w:rsid w:val="0055266B"/>
    <w:rsid w:val="009800C7"/>
    <w:rsid w:val="00A07132"/>
    <w:rsid w:val="00D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78781"/>
  <w15:docId w15:val="{D54AFB2E-D13B-4749-9E11-1674FC77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12"/>
      <w:szCs w:val="1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4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2" w:lineRule="auto"/>
    </w:pPr>
    <w:rPr>
      <w:rFonts w:ascii="Arial" w:eastAsia="Arial" w:hAnsi="Arial" w:cs="Arial"/>
      <w:sz w:val="9"/>
      <w:szCs w:val="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90" w:lineRule="auto"/>
    </w:pPr>
    <w:rPr>
      <w:rFonts w:ascii="Arial" w:eastAsia="Arial" w:hAnsi="Arial" w:cs="Arial"/>
      <w:smallCaps/>
      <w:sz w:val="12"/>
      <w:szCs w:val="12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1">
    <w:name w:val="Heading #1"/>
    <w:basedOn w:val="Normal"/>
    <w:link w:val="Heading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line="233" w:lineRule="auto"/>
      <w:ind w:firstLine="90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34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px0C7jGwvWEEMVPK9DQiCZdHRA==">CgMxLjAyCGguZ2pkZ3hzOAByITFIbDBUN0NrNk9ZYUtYOWVldVZ6YjRGTWs0SnU2OWxBaw==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2024-05-10T03:03:00Z</dcterms:created>
  <dcterms:modified xsi:type="dcterms:W3CDTF">2024-05-10T03:03:00Z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46be819ea5bf43d8b2d9858944cfe9c87691c653154d81606cead109ed037898</vt:lpwstr>
  </property>
</Properties>
</file>