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913B06D" w:rsidR="006431E2" w:rsidRPr="006F1BAA" w:rsidRDefault="00411154" w:rsidP="00C8544F">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bookmarkStart w:id="0" w:name="_GoBack"/>
      <w:bookmarkEnd w:id="0"/>
      <w:r w:rsidRPr="006F1BAA">
        <w:rPr>
          <w:rFonts w:ascii="Arial" w:hAnsi="Arial" w:cs="Arial"/>
          <w:b/>
          <w:color w:val="010000"/>
          <w:sz w:val="20"/>
        </w:rPr>
        <w:t>QTP: Annual General Mandate 2024</w:t>
      </w:r>
    </w:p>
    <w:p w14:paraId="00000002" w14:textId="77777777" w:rsidR="006431E2" w:rsidRPr="006F1BAA" w:rsidRDefault="00411154" w:rsidP="00C8544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6F1BAA">
        <w:rPr>
          <w:rFonts w:ascii="Arial" w:hAnsi="Arial" w:cs="Arial"/>
          <w:color w:val="010000"/>
          <w:sz w:val="20"/>
        </w:rPr>
        <w:t>On April 27, 2024, Quang Ninh Thermal power joint stock company announced Annual General Mandate No. 98/NQ-NDQN as follows:</w:t>
      </w:r>
    </w:p>
    <w:p w14:paraId="00000003" w14:textId="77777777" w:rsidR="006431E2" w:rsidRPr="006F1BAA" w:rsidRDefault="00411154" w:rsidP="00C8544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6F1BAA">
        <w:rPr>
          <w:rFonts w:ascii="Arial" w:hAnsi="Arial" w:cs="Arial"/>
          <w:color w:val="010000"/>
          <w:sz w:val="20"/>
        </w:rPr>
        <w:t>‎‎Article 1. Approve the production, business and construction investment results 2023 with the following main contents:</w:t>
      </w:r>
    </w:p>
    <w:p w14:paraId="00000004" w14:textId="77777777" w:rsidR="006431E2" w:rsidRPr="006F1BAA" w:rsidRDefault="00411154" w:rsidP="00C8544F">
      <w:pPr>
        <w:numPr>
          <w:ilvl w:val="0"/>
          <w:numId w:val="3"/>
        </w:numPr>
        <w:pBdr>
          <w:top w:val="nil"/>
          <w:left w:val="nil"/>
          <w:bottom w:val="nil"/>
          <w:right w:val="nil"/>
          <w:between w:val="nil"/>
        </w:pBdr>
        <w:tabs>
          <w:tab w:val="left" w:pos="284"/>
          <w:tab w:val="left" w:pos="2568"/>
        </w:tabs>
        <w:spacing w:after="120" w:line="360" w:lineRule="auto"/>
        <w:jc w:val="both"/>
        <w:rPr>
          <w:rFonts w:ascii="Arial" w:eastAsia="Arial" w:hAnsi="Arial" w:cs="Arial"/>
          <w:color w:val="010000"/>
          <w:sz w:val="20"/>
          <w:szCs w:val="20"/>
        </w:rPr>
      </w:pPr>
      <w:r w:rsidRPr="006F1BAA">
        <w:rPr>
          <w:rFonts w:ascii="Arial" w:hAnsi="Arial" w:cs="Arial"/>
          <w:color w:val="010000"/>
          <w:sz w:val="20"/>
        </w:rPr>
        <w:t>The production and business results 2023 are as follows:</w:t>
      </w:r>
    </w:p>
    <w:p w14:paraId="00000005" w14:textId="77777777" w:rsidR="006431E2" w:rsidRPr="006F1BAA" w:rsidRDefault="00411154" w:rsidP="00C8544F">
      <w:pPr>
        <w:numPr>
          <w:ilvl w:val="0"/>
          <w:numId w:val="4"/>
        </w:numPr>
        <w:pBdr>
          <w:top w:val="nil"/>
          <w:left w:val="nil"/>
          <w:bottom w:val="nil"/>
          <w:right w:val="nil"/>
          <w:between w:val="nil"/>
        </w:pBdr>
        <w:tabs>
          <w:tab w:val="left" w:pos="284"/>
          <w:tab w:val="left" w:pos="2470"/>
        </w:tabs>
        <w:spacing w:after="120" w:line="360" w:lineRule="auto"/>
        <w:jc w:val="both"/>
        <w:rPr>
          <w:rFonts w:ascii="Arial" w:eastAsia="Arial" w:hAnsi="Arial" w:cs="Arial"/>
          <w:color w:val="010000"/>
          <w:sz w:val="20"/>
          <w:szCs w:val="20"/>
        </w:rPr>
      </w:pPr>
      <w:r w:rsidRPr="006F1BAA">
        <w:rPr>
          <w:rFonts w:ascii="Arial" w:hAnsi="Arial" w:cs="Arial"/>
          <w:color w:val="010000"/>
          <w:sz w:val="20"/>
        </w:rPr>
        <w:t>Total electricity production reached 7.821 billion kWh, equal to 104.0% compared to the Plan 2023;</w:t>
      </w:r>
    </w:p>
    <w:p w14:paraId="00000006" w14:textId="77777777" w:rsidR="006431E2" w:rsidRPr="006F1BAA" w:rsidRDefault="00411154" w:rsidP="00C8544F">
      <w:pPr>
        <w:numPr>
          <w:ilvl w:val="0"/>
          <w:numId w:val="4"/>
        </w:numPr>
        <w:pBdr>
          <w:top w:val="nil"/>
          <w:left w:val="nil"/>
          <w:bottom w:val="nil"/>
          <w:right w:val="nil"/>
          <w:between w:val="nil"/>
        </w:pBdr>
        <w:tabs>
          <w:tab w:val="left" w:pos="284"/>
          <w:tab w:val="left" w:pos="2470"/>
        </w:tabs>
        <w:spacing w:after="120" w:line="360" w:lineRule="auto"/>
        <w:jc w:val="both"/>
        <w:rPr>
          <w:rFonts w:ascii="Arial" w:eastAsia="Arial" w:hAnsi="Arial" w:cs="Arial"/>
          <w:color w:val="010000"/>
          <w:sz w:val="20"/>
          <w:szCs w:val="20"/>
        </w:rPr>
      </w:pPr>
      <w:r w:rsidRPr="006F1BAA">
        <w:rPr>
          <w:rFonts w:ascii="Arial" w:hAnsi="Arial" w:cs="Arial"/>
          <w:color w:val="010000"/>
          <w:sz w:val="20"/>
        </w:rPr>
        <w:t>Total commercial electricity output reached 7.104 billion kWh, equal to 104.2% compared to the Plan 2023;</w:t>
      </w:r>
    </w:p>
    <w:p w14:paraId="00000007" w14:textId="77777777" w:rsidR="006431E2" w:rsidRPr="006F1BAA" w:rsidRDefault="00411154" w:rsidP="00C8544F">
      <w:pPr>
        <w:numPr>
          <w:ilvl w:val="0"/>
          <w:numId w:val="4"/>
        </w:numPr>
        <w:pBdr>
          <w:top w:val="nil"/>
          <w:left w:val="nil"/>
          <w:bottom w:val="nil"/>
          <w:right w:val="nil"/>
          <w:between w:val="nil"/>
        </w:pBdr>
        <w:tabs>
          <w:tab w:val="left" w:pos="284"/>
          <w:tab w:val="left" w:pos="2470"/>
        </w:tabs>
        <w:spacing w:after="120" w:line="360" w:lineRule="auto"/>
        <w:jc w:val="both"/>
        <w:rPr>
          <w:rFonts w:ascii="Arial" w:eastAsia="Arial" w:hAnsi="Arial" w:cs="Arial"/>
          <w:color w:val="010000"/>
          <w:sz w:val="20"/>
          <w:szCs w:val="20"/>
        </w:rPr>
      </w:pPr>
      <w:r w:rsidRPr="006F1BAA">
        <w:rPr>
          <w:rFonts w:ascii="Arial" w:hAnsi="Arial" w:cs="Arial"/>
          <w:color w:val="010000"/>
          <w:sz w:val="20"/>
        </w:rPr>
        <w:t>Total revenue reached VND 12,081.96 billion, equal to 101.4% compared to the Plan 2023;</w:t>
      </w:r>
    </w:p>
    <w:p w14:paraId="00000008" w14:textId="77777777" w:rsidR="006431E2" w:rsidRPr="006F1BAA" w:rsidRDefault="00411154" w:rsidP="00C8544F">
      <w:pPr>
        <w:numPr>
          <w:ilvl w:val="0"/>
          <w:numId w:val="4"/>
        </w:numPr>
        <w:pBdr>
          <w:top w:val="nil"/>
          <w:left w:val="nil"/>
          <w:bottom w:val="nil"/>
          <w:right w:val="nil"/>
          <w:between w:val="nil"/>
        </w:pBdr>
        <w:tabs>
          <w:tab w:val="left" w:pos="284"/>
          <w:tab w:val="left" w:pos="2470"/>
        </w:tabs>
        <w:spacing w:after="120" w:line="360" w:lineRule="auto"/>
        <w:jc w:val="both"/>
        <w:rPr>
          <w:rFonts w:ascii="Arial" w:eastAsia="Arial" w:hAnsi="Arial" w:cs="Arial"/>
          <w:color w:val="010000"/>
          <w:sz w:val="20"/>
          <w:szCs w:val="20"/>
        </w:rPr>
      </w:pPr>
      <w:r w:rsidRPr="006F1BAA">
        <w:rPr>
          <w:rFonts w:ascii="Arial" w:hAnsi="Arial" w:cs="Arial"/>
          <w:color w:val="010000"/>
          <w:sz w:val="20"/>
        </w:rPr>
        <w:t>Total implementation cost is VND 11,419.10 billion, equal to 99.7% compared to the Plan 2023;</w:t>
      </w:r>
    </w:p>
    <w:p w14:paraId="00000009" w14:textId="77777777" w:rsidR="006431E2" w:rsidRPr="006F1BAA" w:rsidRDefault="00411154" w:rsidP="00C8544F">
      <w:pPr>
        <w:numPr>
          <w:ilvl w:val="0"/>
          <w:numId w:val="4"/>
        </w:numPr>
        <w:pBdr>
          <w:top w:val="nil"/>
          <w:left w:val="nil"/>
          <w:bottom w:val="nil"/>
          <w:right w:val="nil"/>
          <w:between w:val="nil"/>
        </w:pBdr>
        <w:tabs>
          <w:tab w:val="left" w:pos="284"/>
          <w:tab w:val="left" w:pos="2470"/>
        </w:tabs>
        <w:spacing w:after="120" w:line="360" w:lineRule="auto"/>
        <w:jc w:val="both"/>
        <w:rPr>
          <w:rFonts w:ascii="Arial" w:eastAsia="Arial" w:hAnsi="Arial" w:cs="Arial"/>
          <w:color w:val="010000"/>
          <w:sz w:val="20"/>
          <w:szCs w:val="20"/>
        </w:rPr>
      </w:pPr>
      <w:r w:rsidRPr="006F1BAA">
        <w:rPr>
          <w:rFonts w:ascii="Arial" w:hAnsi="Arial" w:cs="Arial"/>
          <w:color w:val="010000"/>
          <w:sz w:val="20"/>
        </w:rPr>
        <w:t>Production and business profit (excluding exchange rate differences) reached VND 662.86 billion, equal to 143.1% compared to the Plan 2023.</w:t>
      </w:r>
    </w:p>
    <w:p w14:paraId="0000000A" w14:textId="77777777" w:rsidR="006431E2" w:rsidRPr="006F1BAA" w:rsidRDefault="00411154" w:rsidP="00C8544F">
      <w:pPr>
        <w:numPr>
          <w:ilvl w:val="0"/>
          <w:numId w:val="4"/>
        </w:numPr>
        <w:pBdr>
          <w:top w:val="nil"/>
          <w:left w:val="nil"/>
          <w:bottom w:val="nil"/>
          <w:right w:val="nil"/>
          <w:between w:val="nil"/>
        </w:pBdr>
        <w:tabs>
          <w:tab w:val="left" w:pos="284"/>
          <w:tab w:val="left" w:pos="2472"/>
        </w:tabs>
        <w:spacing w:after="120" w:line="360" w:lineRule="auto"/>
        <w:jc w:val="both"/>
        <w:rPr>
          <w:rFonts w:ascii="Arial" w:eastAsia="Arial" w:hAnsi="Arial" w:cs="Arial"/>
          <w:color w:val="010000"/>
          <w:sz w:val="20"/>
          <w:szCs w:val="20"/>
        </w:rPr>
      </w:pPr>
      <w:r w:rsidRPr="006F1BAA">
        <w:rPr>
          <w:rFonts w:ascii="Arial" w:hAnsi="Arial" w:cs="Arial"/>
          <w:color w:val="010000"/>
          <w:sz w:val="20"/>
        </w:rPr>
        <w:t>Profit including exchange rate differences is VND 644.40 billion.</w:t>
      </w:r>
    </w:p>
    <w:p w14:paraId="0000000B" w14:textId="03171517" w:rsidR="006431E2" w:rsidRPr="006F1BAA" w:rsidRDefault="00411154" w:rsidP="00C8544F">
      <w:pPr>
        <w:numPr>
          <w:ilvl w:val="0"/>
          <w:numId w:val="4"/>
        </w:numPr>
        <w:pBdr>
          <w:top w:val="nil"/>
          <w:left w:val="nil"/>
          <w:bottom w:val="nil"/>
          <w:right w:val="nil"/>
          <w:between w:val="nil"/>
        </w:pBdr>
        <w:tabs>
          <w:tab w:val="left" w:pos="284"/>
          <w:tab w:val="left" w:pos="2472"/>
        </w:tabs>
        <w:spacing w:after="120" w:line="360" w:lineRule="auto"/>
        <w:rPr>
          <w:rFonts w:ascii="Arial" w:eastAsia="Arial" w:hAnsi="Arial" w:cs="Arial"/>
          <w:color w:val="010000"/>
          <w:sz w:val="20"/>
          <w:szCs w:val="20"/>
        </w:rPr>
      </w:pPr>
      <w:r w:rsidRPr="006F1BAA">
        <w:rPr>
          <w:rFonts w:ascii="Arial" w:hAnsi="Arial" w:cs="Arial"/>
          <w:color w:val="010000"/>
          <w:sz w:val="20"/>
        </w:rPr>
        <w:t xml:space="preserve">Profit after tax is </w:t>
      </w:r>
      <w:r w:rsidR="00734E20" w:rsidRPr="006F1BAA">
        <w:rPr>
          <w:rFonts w:ascii="Arial" w:hAnsi="Arial" w:cs="Arial"/>
          <w:color w:val="010000"/>
          <w:sz w:val="20"/>
        </w:rPr>
        <w:t xml:space="preserve">VND </w:t>
      </w:r>
      <w:r w:rsidRPr="006F1BAA">
        <w:rPr>
          <w:rFonts w:ascii="Arial" w:hAnsi="Arial" w:cs="Arial"/>
          <w:color w:val="010000"/>
          <w:sz w:val="20"/>
        </w:rPr>
        <w:t>611.90 billion.</w:t>
      </w:r>
    </w:p>
    <w:p w14:paraId="0000000C" w14:textId="77777777" w:rsidR="006431E2" w:rsidRPr="006F1BAA" w:rsidRDefault="00411154" w:rsidP="00C8544F">
      <w:pPr>
        <w:numPr>
          <w:ilvl w:val="0"/>
          <w:numId w:val="3"/>
        </w:numPr>
        <w:pBdr>
          <w:top w:val="nil"/>
          <w:left w:val="nil"/>
          <w:bottom w:val="nil"/>
          <w:right w:val="nil"/>
          <w:between w:val="nil"/>
        </w:pBdr>
        <w:tabs>
          <w:tab w:val="left" w:pos="284"/>
          <w:tab w:val="left" w:pos="2587"/>
        </w:tabs>
        <w:spacing w:after="120" w:line="360" w:lineRule="auto"/>
        <w:rPr>
          <w:rFonts w:ascii="Arial" w:eastAsia="Arial" w:hAnsi="Arial" w:cs="Arial"/>
          <w:color w:val="010000"/>
          <w:sz w:val="20"/>
          <w:szCs w:val="20"/>
        </w:rPr>
      </w:pPr>
      <w:r w:rsidRPr="006F1BAA">
        <w:rPr>
          <w:rFonts w:ascii="Arial" w:hAnsi="Arial" w:cs="Arial"/>
          <w:color w:val="010000"/>
          <w:sz w:val="20"/>
        </w:rPr>
        <w:t>Construction investment results 2023:</w:t>
      </w:r>
    </w:p>
    <w:p w14:paraId="0000000D" w14:textId="77777777" w:rsidR="006431E2" w:rsidRPr="006F1BAA" w:rsidRDefault="00411154" w:rsidP="00C8544F">
      <w:pPr>
        <w:numPr>
          <w:ilvl w:val="0"/>
          <w:numId w:val="4"/>
        </w:numPr>
        <w:pBdr>
          <w:top w:val="nil"/>
          <w:left w:val="nil"/>
          <w:bottom w:val="nil"/>
          <w:right w:val="nil"/>
          <w:between w:val="nil"/>
        </w:pBdr>
        <w:tabs>
          <w:tab w:val="left" w:pos="284"/>
          <w:tab w:val="left" w:pos="2470"/>
        </w:tabs>
        <w:spacing w:after="120" w:line="360" w:lineRule="auto"/>
        <w:jc w:val="both"/>
        <w:rPr>
          <w:rFonts w:ascii="Arial" w:eastAsia="Arial" w:hAnsi="Arial" w:cs="Arial"/>
          <w:color w:val="010000"/>
          <w:sz w:val="20"/>
          <w:szCs w:val="20"/>
        </w:rPr>
      </w:pPr>
      <w:r w:rsidRPr="006F1BAA">
        <w:rPr>
          <w:rFonts w:ascii="Arial" w:hAnsi="Arial" w:cs="Arial"/>
          <w:color w:val="010000"/>
          <w:sz w:val="20"/>
        </w:rPr>
        <w:t>Total value of disbursement for Projects and settlement of investment capital to complete the projects is: VND 0.939 billion;</w:t>
      </w:r>
    </w:p>
    <w:p w14:paraId="0000000E" w14:textId="77777777" w:rsidR="006431E2" w:rsidRPr="006F1BAA" w:rsidRDefault="00411154" w:rsidP="00C8544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6F1BAA">
        <w:rPr>
          <w:rFonts w:ascii="Arial" w:hAnsi="Arial" w:cs="Arial"/>
          <w:color w:val="010000"/>
          <w:sz w:val="20"/>
        </w:rPr>
        <w:t>‎‎Article 2. Approve the Company's plans 2024 with the following main contents:</w:t>
      </w:r>
    </w:p>
    <w:p w14:paraId="0000000F" w14:textId="77777777" w:rsidR="006431E2" w:rsidRPr="006F1BAA" w:rsidRDefault="00411154" w:rsidP="00C8544F">
      <w:pPr>
        <w:numPr>
          <w:ilvl w:val="0"/>
          <w:numId w:val="1"/>
        </w:numPr>
        <w:pBdr>
          <w:top w:val="nil"/>
          <w:left w:val="nil"/>
          <w:bottom w:val="nil"/>
          <w:right w:val="nil"/>
          <w:between w:val="nil"/>
        </w:pBdr>
        <w:tabs>
          <w:tab w:val="left" w:pos="284"/>
          <w:tab w:val="left" w:pos="2549"/>
        </w:tabs>
        <w:spacing w:after="120" w:line="360" w:lineRule="auto"/>
        <w:rPr>
          <w:rFonts w:ascii="Arial" w:eastAsia="Arial" w:hAnsi="Arial" w:cs="Arial"/>
          <w:color w:val="010000"/>
          <w:sz w:val="20"/>
          <w:szCs w:val="20"/>
        </w:rPr>
      </w:pPr>
      <w:r w:rsidRPr="006F1BAA">
        <w:rPr>
          <w:rFonts w:ascii="Arial" w:hAnsi="Arial" w:cs="Arial"/>
          <w:color w:val="010000"/>
          <w:sz w:val="20"/>
        </w:rPr>
        <w:t>Production and business plan 2024</w:t>
      </w:r>
    </w:p>
    <w:p w14:paraId="00000010" w14:textId="77777777" w:rsidR="006431E2" w:rsidRPr="006F1BAA" w:rsidRDefault="00411154" w:rsidP="00C8544F">
      <w:pPr>
        <w:numPr>
          <w:ilvl w:val="0"/>
          <w:numId w:val="4"/>
        </w:numPr>
        <w:pBdr>
          <w:top w:val="nil"/>
          <w:left w:val="nil"/>
          <w:bottom w:val="nil"/>
          <w:right w:val="nil"/>
          <w:between w:val="nil"/>
        </w:pBdr>
        <w:tabs>
          <w:tab w:val="left" w:pos="284"/>
          <w:tab w:val="left" w:pos="2742"/>
        </w:tabs>
        <w:spacing w:after="120" w:line="360" w:lineRule="auto"/>
        <w:jc w:val="both"/>
        <w:rPr>
          <w:rFonts w:ascii="Arial" w:eastAsia="Arial" w:hAnsi="Arial" w:cs="Arial"/>
          <w:color w:val="010000"/>
          <w:sz w:val="20"/>
          <w:szCs w:val="20"/>
        </w:rPr>
      </w:pPr>
      <w:r w:rsidRPr="006F1BAA">
        <w:rPr>
          <w:rFonts w:ascii="Arial" w:hAnsi="Arial" w:cs="Arial"/>
          <w:color w:val="010000"/>
          <w:sz w:val="20"/>
        </w:rPr>
        <w:t>Electricity production output: 7.761 billion kWh;</w:t>
      </w:r>
    </w:p>
    <w:p w14:paraId="00000011" w14:textId="77777777" w:rsidR="006431E2" w:rsidRPr="006F1BAA" w:rsidRDefault="00411154" w:rsidP="00C8544F">
      <w:pPr>
        <w:numPr>
          <w:ilvl w:val="0"/>
          <w:numId w:val="4"/>
        </w:numPr>
        <w:pBdr>
          <w:top w:val="nil"/>
          <w:left w:val="nil"/>
          <w:bottom w:val="nil"/>
          <w:right w:val="nil"/>
          <w:between w:val="nil"/>
        </w:pBdr>
        <w:tabs>
          <w:tab w:val="left" w:pos="284"/>
          <w:tab w:val="left" w:pos="2742"/>
        </w:tabs>
        <w:spacing w:after="120" w:line="360" w:lineRule="auto"/>
        <w:jc w:val="both"/>
        <w:rPr>
          <w:rFonts w:ascii="Arial" w:eastAsia="Arial" w:hAnsi="Arial" w:cs="Arial"/>
          <w:color w:val="010000"/>
          <w:sz w:val="20"/>
          <w:szCs w:val="20"/>
        </w:rPr>
      </w:pPr>
      <w:r w:rsidRPr="006F1BAA">
        <w:rPr>
          <w:rFonts w:ascii="Arial" w:hAnsi="Arial" w:cs="Arial"/>
          <w:color w:val="010000"/>
          <w:sz w:val="20"/>
        </w:rPr>
        <w:t>Electricity output sold: 7.030 billion kWh;</w:t>
      </w:r>
    </w:p>
    <w:p w14:paraId="00000012" w14:textId="77777777" w:rsidR="006431E2" w:rsidRPr="006F1BAA" w:rsidRDefault="00411154" w:rsidP="00C8544F">
      <w:pPr>
        <w:numPr>
          <w:ilvl w:val="0"/>
          <w:numId w:val="4"/>
        </w:numPr>
        <w:pBdr>
          <w:top w:val="nil"/>
          <w:left w:val="nil"/>
          <w:bottom w:val="nil"/>
          <w:right w:val="nil"/>
          <w:between w:val="nil"/>
        </w:pBdr>
        <w:tabs>
          <w:tab w:val="left" w:pos="284"/>
          <w:tab w:val="left" w:pos="2742"/>
        </w:tabs>
        <w:spacing w:after="120" w:line="360" w:lineRule="auto"/>
        <w:jc w:val="both"/>
        <w:rPr>
          <w:rFonts w:ascii="Arial" w:eastAsia="Arial" w:hAnsi="Arial" w:cs="Arial"/>
          <w:color w:val="010000"/>
          <w:sz w:val="20"/>
          <w:szCs w:val="20"/>
        </w:rPr>
      </w:pPr>
      <w:r w:rsidRPr="006F1BAA">
        <w:rPr>
          <w:rFonts w:ascii="Arial" w:hAnsi="Arial" w:cs="Arial"/>
          <w:color w:val="010000"/>
          <w:sz w:val="20"/>
        </w:rPr>
        <w:t>Total revenue: VND 12,317.67 billion;</w:t>
      </w:r>
    </w:p>
    <w:p w14:paraId="00000013" w14:textId="77777777" w:rsidR="006431E2" w:rsidRPr="006F1BAA" w:rsidRDefault="00411154" w:rsidP="00C8544F">
      <w:pPr>
        <w:numPr>
          <w:ilvl w:val="0"/>
          <w:numId w:val="4"/>
        </w:numPr>
        <w:pBdr>
          <w:top w:val="nil"/>
          <w:left w:val="nil"/>
          <w:bottom w:val="nil"/>
          <w:right w:val="nil"/>
          <w:between w:val="nil"/>
        </w:pBdr>
        <w:tabs>
          <w:tab w:val="left" w:pos="284"/>
          <w:tab w:val="left" w:pos="2742"/>
        </w:tabs>
        <w:spacing w:after="120" w:line="360" w:lineRule="auto"/>
        <w:jc w:val="both"/>
        <w:rPr>
          <w:rFonts w:ascii="Arial" w:eastAsia="Arial" w:hAnsi="Arial" w:cs="Arial"/>
          <w:color w:val="010000"/>
          <w:sz w:val="20"/>
          <w:szCs w:val="20"/>
        </w:rPr>
      </w:pPr>
      <w:r w:rsidRPr="006F1BAA">
        <w:rPr>
          <w:rFonts w:ascii="Arial" w:hAnsi="Arial" w:cs="Arial"/>
          <w:color w:val="010000"/>
          <w:sz w:val="20"/>
        </w:rPr>
        <w:t>Total expenses: VND 11,762.67 billion;</w:t>
      </w:r>
    </w:p>
    <w:p w14:paraId="00000014" w14:textId="574C1381" w:rsidR="006431E2" w:rsidRPr="006F1BAA" w:rsidRDefault="00411154" w:rsidP="00C8544F">
      <w:pPr>
        <w:numPr>
          <w:ilvl w:val="0"/>
          <w:numId w:val="4"/>
        </w:numPr>
        <w:pBdr>
          <w:top w:val="nil"/>
          <w:left w:val="nil"/>
          <w:bottom w:val="nil"/>
          <w:right w:val="nil"/>
          <w:between w:val="nil"/>
        </w:pBdr>
        <w:tabs>
          <w:tab w:val="left" w:pos="284"/>
          <w:tab w:val="left" w:pos="2742"/>
        </w:tabs>
        <w:spacing w:after="120" w:line="360" w:lineRule="auto"/>
        <w:jc w:val="both"/>
        <w:rPr>
          <w:rFonts w:ascii="Arial" w:eastAsia="Arial" w:hAnsi="Arial" w:cs="Arial"/>
          <w:color w:val="010000"/>
          <w:sz w:val="20"/>
          <w:szCs w:val="20"/>
        </w:rPr>
      </w:pPr>
      <w:r w:rsidRPr="006F1BAA">
        <w:rPr>
          <w:rFonts w:ascii="Arial" w:hAnsi="Arial" w:cs="Arial"/>
          <w:color w:val="010000"/>
          <w:sz w:val="20"/>
        </w:rPr>
        <w:t>Total profit before tax</w:t>
      </w:r>
      <w:r w:rsidR="00734E20" w:rsidRPr="006F1BAA">
        <w:rPr>
          <w:rFonts w:ascii="Arial" w:hAnsi="Arial" w:cs="Arial"/>
          <w:color w:val="010000"/>
          <w:sz w:val="20"/>
        </w:rPr>
        <w:t>:</w:t>
      </w:r>
      <w:r w:rsidRPr="006F1BAA">
        <w:rPr>
          <w:rFonts w:ascii="Arial" w:hAnsi="Arial" w:cs="Arial"/>
          <w:color w:val="010000"/>
          <w:sz w:val="20"/>
        </w:rPr>
        <w:t xml:space="preserve"> VND 555.00 billion;</w:t>
      </w:r>
    </w:p>
    <w:p w14:paraId="00000015" w14:textId="20DB5021" w:rsidR="006431E2" w:rsidRPr="006F1BAA" w:rsidRDefault="00411154" w:rsidP="00C8544F">
      <w:pPr>
        <w:numPr>
          <w:ilvl w:val="0"/>
          <w:numId w:val="4"/>
        </w:numPr>
        <w:pBdr>
          <w:top w:val="nil"/>
          <w:left w:val="nil"/>
          <w:bottom w:val="nil"/>
          <w:right w:val="nil"/>
          <w:between w:val="nil"/>
        </w:pBdr>
        <w:tabs>
          <w:tab w:val="left" w:pos="284"/>
          <w:tab w:val="left" w:pos="2742"/>
        </w:tabs>
        <w:spacing w:after="120" w:line="360" w:lineRule="auto"/>
        <w:jc w:val="both"/>
        <w:rPr>
          <w:rFonts w:ascii="Arial" w:eastAsia="Arial" w:hAnsi="Arial" w:cs="Arial"/>
          <w:color w:val="010000"/>
          <w:sz w:val="20"/>
          <w:szCs w:val="20"/>
        </w:rPr>
      </w:pPr>
      <w:r w:rsidRPr="006F1BAA">
        <w:rPr>
          <w:rFonts w:ascii="Arial" w:hAnsi="Arial" w:cs="Arial"/>
          <w:color w:val="010000"/>
          <w:sz w:val="20"/>
        </w:rPr>
        <w:t>Total profit after tax: VND 499.50 billion;</w:t>
      </w:r>
    </w:p>
    <w:p w14:paraId="00000016" w14:textId="77777777" w:rsidR="006431E2" w:rsidRPr="006F1BAA" w:rsidRDefault="00411154" w:rsidP="00C8544F">
      <w:pPr>
        <w:numPr>
          <w:ilvl w:val="0"/>
          <w:numId w:val="4"/>
        </w:numPr>
        <w:pBdr>
          <w:top w:val="nil"/>
          <w:left w:val="nil"/>
          <w:bottom w:val="nil"/>
          <w:right w:val="nil"/>
          <w:between w:val="nil"/>
        </w:pBdr>
        <w:tabs>
          <w:tab w:val="left" w:pos="284"/>
          <w:tab w:val="left" w:pos="2742"/>
        </w:tabs>
        <w:spacing w:after="120" w:line="360" w:lineRule="auto"/>
        <w:jc w:val="both"/>
        <w:rPr>
          <w:rFonts w:ascii="Arial" w:eastAsia="Arial" w:hAnsi="Arial" w:cs="Arial"/>
          <w:color w:val="010000"/>
          <w:sz w:val="20"/>
          <w:szCs w:val="20"/>
        </w:rPr>
      </w:pPr>
      <w:r w:rsidRPr="006F1BAA">
        <w:rPr>
          <w:rFonts w:ascii="Arial" w:hAnsi="Arial" w:cs="Arial"/>
          <w:color w:val="010000"/>
          <w:sz w:val="20"/>
        </w:rPr>
        <w:t>Expected dividend payment 2024 in cash is 10% of charter capital.</w:t>
      </w:r>
    </w:p>
    <w:p w14:paraId="00000017" w14:textId="77777777" w:rsidR="006431E2" w:rsidRPr="006F1BAA" w:rsidRDefault="00411154" w:rsidP="00C8544F">
      <w:pPr>
        <w:numPr>
          <w:ilvl w:val="0"/>
          <w:numId w:val="1"/>
        </w:numPr>
        <w:pBdr>
          <w:top w:val="nil"/>
          <w:left w:val="nil"/>
          <w:bottom w:val="nil"/>
          <w:right w:val="nil"/>
          <w:between w:val="nil"/>
        </w:pBdr>
        <w:tabs>
          <w:tab w:val="left" w:pos="284"/>
          <w:tab w:val="left" w:pos="2578"/>
        </w:tabs>
        <w:spacing w:after="120" w:line="360" w:lineRule="auto"/>
        <w:rPr>
          <w:rFonts w:ascii="Arial" w:eastAsia="Arial" w:hAnsi="Arial" w:cs="Arial"/>
          <w:color w:val="010000"/>
          <w:sz w:val="20"/>
          <w:szCs w:val="20"/>
        </w:rPr>
      </w:pPr>
      <w:r w:rsidRPr="006F1BAA">
        <w:rPr>
          <w:rFonts w:ascii="Arial" w:hAnsi="Arial" w:cs="Arial"/>
          <w:color w:val="010000"/>
          <w:sz w:val="20"/>
        </w:rPr>
        <w:t>Construction investment plan 2024:</w:t>
      </w:r>
    </w:p>
    <w:p w14:paraId="00000018" w14:textId="77777777" w:rsidR="006431E2" w:rsidRPr="006F1BAA" w:rsidRDefault="00411154" w:rsidP="00C8544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6F1BAA">
        <w:rPr>
          <w:rFonts w:ascii="Arial" w:hAnsi="Arial" w:cs="Arial"/>
          <w:color w:val="010000"/>
          <w:sz w:val="20"/>
        </w:rPr>
        <w:t>QTP's total investment value 2024 is VND 181.97 billion per 12 projects (of which VND 135.25 billion belongs to disbursed investment capital for the Quang Ninh 2 Electric Plant project).</w:t>
      </w:r>
    </w:p>
    <w:p w14:paraId="00000019" w14:textId="77777777" w:rsidR="006431E2" w:rsidRPr="006F1BAA" w:rsidRDefault="00411154" w:rsidP="00C8544F">
      <w:pPr>
        <w:numPr>
          <w:ilvl w:val="0"/>
          <w:numId w:val="1"/>
        </w:numPr>
        <w:pBdr>
          <w:top w:val="nil"/>
          <w:left w:val="nil"/>
          <w:bottom w:val="nil"/>
          <w:right w:val="nil"/>
          <w:between w:val="nil"/>
        </w:pBdr>
        <w:tabs>
          <w:tab w:val="left" w:pos="284"/>
          <w:tab w:val="left" w:pos="2569"/>
        </w:tabs>
        <w:spacing w:after="120" w:line="360" w:lineRule="auto"/>
        <w:jc w:val="both"/>
        <w:rPr>
          <w:rFonts w:ascii="Arial" w:eastAsia="Arial" w:hAnsi="Arial" w:cs="Arial"/>
          <w:color w:val="010000"/>
          <w:sz w:val="20"/>
          <w:szCs w:val="20"/>
        </w:rPr>
      </w:pPr>
      <w:r w:rsidRPr="006F1BAA">
        <w:rPr>
          <w:rFonts w:ascii="Arial" w:hAnsi="Arial" w:cs="Arial"/>
          <w:color w:val="010000"/>
          <w:sz w:val="20"/>
        </w:rPr>
        <w:t>Plan for purchasing fixed assets using development investment capital (DIC) 2024:</w:t>
      </w:r>
    </w:p>
    <w:p w14:paraId="0000001A" w14:textId="77777777" w:rsidR="006431E2" w:rsidRPr="006F1BAA" w:rsidRDefault="00411154" w:rsidP="00C8544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6F1BAA">
        <w:rPr>
          <w:rFonts w:ascii="Arial" w:hAnsi="Arial" w:cs="Arial"/>
          <w:color w:val="010000"/>
          <w:sz w:val="20"/>
        </w:rPr>
        <w:t xml:space="preserve">The total value of fixed asset purchases using development investment capital (DIC) 2024 is VND 25.58 </w:t>
      </w:r>
      <w:r w:rsidRPr="006F1BAA">
        <w:rPr>
          <w:rFonts w:ascii="Arial" w:hAnsi="Arial" w:cs="Arial"/>
          <w:color w:val="010000"/>
          <w:sz w:val="20"/>
        </w:rPr>
        <w:lastRenderedPageBreak/>
        <w:t>billion.</w:t>
      </w:r>
    </w:p>
    <w:p w14:paraId="0000001B" w14:textId="77777777" w:rsidR="006431E2" w:rsidRPr="006F1BAA" w:rsidRDefault="00411154" w:rsidP="00C8544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6F1BAA">
        <w:rPr>
          <w:rFonts w:ascii="Arial" w:hAnsi="Arial" w:cs="Arial"/>
          <w:color w:val="010000"/>
          <w:sz w:val="20"/>
        </w:rPr>
        <w:t>Article 3: Approve the Audited Financial Statements 2023 by UHY Auditing and Consulting Company Limited.</w:t>
      </w:r>
    </w:p>
    <w:p w14:paraId="0000001C" w14:textId="5338E322" w:rsidR="006431E2" w:rsidRPr="006F1BAA" w:rsidRDefault="00411154" w:rsidP="00C8544F">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F1BAA">
        <w:rPr>
          <w:rFonts w:ascii="Arial" w:hAnsi="Arial" w:cs="Arial"/>
          <w:color w:val="010000"/>
          <w:sz w:val="20"/>
        </w:rPr>
        <w:t xml:space="preserve">‎‎Article 4. Approve profit distribution 2023, </w:t>
      </w:r>
      <w:r w:rsidR="00734E20" w:rsidRPr="006F1BAA">
        <w:rPr>
          <w:rFonts w:ascii="Arial" w:hAnsi="Arial" w:cs="Arial"/>
          <w:color w:val="010000"/>
          <w:sz w:val="20"/>
        </w:rPr>
        <w:t>specifically</w:t>
      </w:r>
      <w:r w:rsidRPr="006F1BAA">
        <w:rPr>
          <w:rFonts w:ascii="Arial" w:hAnsi="Arial" w:cs="Arial"/>
          <w:color w:val="010000"/>
          <w:sz w:val="20"/>
        </w:rPr>
        <w:t>:</w:t>
      </w:r>
    </w:p>
    <w:p w14:paraId="0000001D" w14:textId="77777777" w:rsidR="006431E2" w:rsidRPr="006F1BAA" w:rsidRDefault="00411154" w:rsidP="00C8544F">
      <w:pPr>
        <w:numPr>
          <w:ilvl w:val="0"/>
          <w:numId w:val="4"/>
        </w:numPr>
        <w:pBdr>
          <w:top w:val="nil"/>
          <w:left w:val="nil"/>
          <w:bottom w:val="nil"/>
          <w:right w:val="nil"/>
          <w:between w:val="nil"/>
        </w:pBdr>
        <w:tabs>
          <w:tab w:val="left" w:pos="284"/>
          <w:tab w:val="left" w:pos="2472"/>
        </w:tabs>
        <w:spacing w:after="120" w:line="360" w:lineRule="auto"/>
        <w:jc w:val="both"/>
        <w:rPr>
          <w:rFonts w:ascii="Arial" w:eastAsia="Arial" w:hAnsi="Arial" w:cs="Arial"/>
          <w:color w:val="010000"/>
          <w:sz w:val="20"/>
          <w:szCs w:val="20"/>
        </w:rPr>
      </w:pPr>
      <w:r w:rsidRPr="006F1BAA">
        <w:rPr>
          <w:rFonts w:ascii="Arial" w:hAnsi="Arial" w:cs="Arial"/>
          <w:color w:val="010000"/>
          <w:sz w:val="20"/>
        </w:rPr>
        <w:t>Dividend payment in cash equal to 15% of charter capital: VND 675,000,000,000.</w:t>
      </w:r>
    </w:p>
    <w:p w14:paraId="0000001E" w14:textId="12DE3388" w:rsidR="006431E2" w:rsidRPr="006F1BAA" w:rsidRDefault="00411154" w:rsidP="00C8544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6F1BAA">
        <w:rPr>
          <w:rFonts w:ascii="Arial" w:hAnsi="Arial" w:cs="Arial"/>
          <w:color w:val="010000"/>
          <w:sz w:val="20"/>
        </w:rPr>
        <w:t xml:space="preserve">(This dividend payment rate includes the first dividend </w:t>
      </w:r>
      <w:r w:rsidR="00734E20" w:rsidRPr="006F1BAA">
        <w:rPr>
          <w:rFonts w:ascii="Arial" w:hAnsi="Arial" w:cs="Arial"/>
          <w:color w:val="010000"/>
          <w:sz w:val="20"/>
        </w:rPr>
        <w:t xml:space="preserve">prepayment </w:t>
      </w:r>
      <w:r w:rsidRPr="006F1BAA">
        <w:rPr>
          <w:rFonts w:ascii="Arial" w:hAnsi="Arial" w:cs="Arial"/>
          <w:color w:val="010000"/>
          <w:sz w:val="20"/>
        </w:rPr>
        <w:t>2023 equal to 7.5% of charter capital approved by the Board of Directors in Annual General Mandate No. 216/NQ- NDQN dated November 27, 2023 and the dividend payment rate equal to 2.86% of charter capital from</w:t>
      </w:r>
      <w:r w:rsidR="00734E20" w:rsidRPr="006F1BAA">
        <w:rPr>
          <w:rFonts w:ascii="Arial" w:hAnsi="Arial" w:cs="Arial"/>
          <w:color w:val="010000"/>
          <w:sz w:val="20"/>
        </w:rPr>
        <w:t xml:space="preserve"> the</w:t>
      </w:r>
      <w:r w:rsidRPr="006F1BAA">
        <w:rPr>
          <w:rFonts w:ascii="Arial" w:hAnsi="Arial" w:cs="Arial"/>
          <w:color w:val="010000"/>
          <w:sz w:val="20"/>
        </w:rPr>
        <w:t xml:space="preserve"> r</w:t>
      </w:r>
      <w:r w:rsidR="00B02B22" w:rsidRPr="006F1BAA">
        <w:rPr>
          <w:rFonts w:ascii="Arial" w:hAnsi="Arial" w:cs="Arial"/>
          <w:color w:val="010000"/>
          <w:sz w:val="20"/>
        </w:rPr>
        <w:t xml:space="preserve">eversal of </w:t>
      </w:r>
      <w:r w:rsidRPr="006F1BAA">
        <w:rPr>
          <w:rFonts w:ascii="Arial" w:hAnsi="Arial" w:cs="Arial"/>
          <w:color w:val="010000"/>
          <w:sz w:val="20"/>
        </w:rPr>
        <w:t>the Development Investment Fund to profit after tax according to General Mandate No. 248/NQ-NDQN dated December 22, 2023)</w:t>
      </w:r>
    </w:p>
    <w:p w14:paraId="0000001F" w14:textId="59112D1C" w:rsidR="006431E2" w:rsidRPr="006F1BAA" w:rsidRDefault="00411154" w:rsidP="00B02B22">
      <w:pPr>
        <w:numPr>
          <w:ilvl w:val="0"/>
          <w:numId w:val="4"/>
        </w:numPr>
        <w:pBdr>
          <w:top w:val="nil"/>
          <w:left w:val="nil"/>
          <w:bottom w:val="nil"/>
          <w:right w:val="nil"/>
          <w:between w:val="nil"/>
        </w:pBdr>
        <w:tabs>
          <w:tab w:val="left" w:pos="284"/>
          <w:tab w:val="left" w:pos="2472"/>
        </w:tabs>
        <w:spacing w:after="120" w:line="360" w:lineRule="auto"/>
        <w:jc w:val="both"/>
        <w:rPr>
          <w:rFonts w:ascii="Arial" w:eastAsia="Arial" w:hAnsi="Arial" w:cs="Arial"/>
          <w:color w:val="010000"/>
          <w:sz w:val="20"/>
          <w:szCs w:val="20"/>
        </w:rPr>
      </w:pPr>
      <w:r w:rsidRPr="006F1BAA">
        <w:rPr>
          <w:rFonts w:ascii="Arial" w:hAnsi="Arial" w:cs="Arial"/>
          <w:color w:val="010000"/>
          <w:sz w:val="20"/>
        </w:rPr>
        <w:t>Appropriate</w:t>
      </w:r>
      <w:r w:rsidR="00B02B22" w:rsidRPr="006F1BAA">
        <w:rPr>
          <w:rFonts w:ascii="Arial" w:hAnsi="Arial" w:cs="Arial"/>
          <w:color w:val="010000"/>
          <w:sz w:val="20"/>
        </w:rPr>
        <w:t xml:space="preserve"> for</w:t>
      </w:r>
      <w:r w:rsidRPr="006F1BAA">
        <w:rPr>
          <w:rFonts w:ascii="Arial" w:hAnsi="Arial" w:cs="Arial"/>
          <w:color w:val="010000"/>
          <w:sz w:val="20"/>
        </w:rPr>
        <w:t xml:space="preserve"> the Bonus Fund and Welfare Fund: VND 68,667,135,000;</w:t>
      </w:r>
    </w:p>
    <w:p w14:paraId="00000020" w14:textId="77777777" w:rsidR="006431E2" w:rsidRPr="006F1BAA" w:rsidRDefault="00411154" w:rsidP="00C8544F">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F1BAA">
        <w:rPr>
          <w:rFonts w:ascii="Arial" w:hAnsi="Arial" w:cs="Arial"/>
          <w:color w:val="010000"/>
          <w:sz w:val="20"/>
        </w:rPr>
        <w:t>In which:</w:t>
      </w:r>
    </w:p>
    <w:p w14:paraId="00000021" w14:textId="1A8D4D75" w:rsidR="006431E2" w:rsidRPr="006F1BAA" w:rsidRDefault="00411154" w:rsidP="00C8544F">
      <w:pPr>
        <w:numPr>
          <w:ilvl w:val="0"/>
          <w:numId w:val="2"/>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0"/>
        </w:rPr>
      </w:pPr>
      <w:r w:rsidRPr="006F1BAA">
        <w:rPr>
          <w:rFonts w:ascii="Arial" w:hAnsi="Arial" w:cs="Arial"/>
          <w:color w:val="010000"/>
          <w:sz w:val="20"/>
        </w:rPr>
        <w:t>Bonus fund: VND 34,333,567,500</w:t>
      </w:r>
    </w:p>
    <w:p w14:paraId="00000022" w14:textId="26F8224A" w:rsidR="006431E2" w:rsidRPr="006F1BAA" w:rsidRDefault="00411154" w:rsidP="00C8544F">
      <w:pPr>
        <w:numPr>
          <w:ilvl w:val="0"/>
          <w:numId w:val="2"/>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0"/>
        </w:rPr>
      </w:pPr>
      <w:r w:rsidRPr="006F1BAA">
        <w:rPr>
          <w:rFonts w:ascii="Arial" w:hAnsi="Arial" w:cs="Arial"/>
          <w:color w:val="010000"/>
          <w:sz w:val="20"/>
        </w:rPr>
        <w:t>Welfare fund: VND 34,333,567,500</w:t>
      </w:r>
    </w:p>
    <w:p w14:paraId="00000023" w14:textId="06AB90CB" w:rsidR="006431E2" w:rsidRPr="006F1BAA" w:rsidRDefault="00411154" w:rsidP="00C8544F">
      <w:pPr>
        <w:numPr>
          <w:ilvl w:val="0"/>
          <w:numId w:val="4"/>
        </w:numPr>
        <w:pBdr>
          <w:top w:val="nil"/>
          <w:left w:val="nil"/>
          <w:bottom w:val="nil"/>
          <w:right w:val="nil"/>
          <w:between w:val="nil"/>
        </w:pBdr>
        <w:tabs>
          <w:tab w:val="left" w:pos="284"/>
          <w:tab w:val="left" w:pos="2472"/>
        </w:tabs>
        <w:spacing w:after="120" w:line="360" w:lineRule="auto"/>
        <w:jc w:val="both"/>
        <w:rPr>
          <w:rFonts w:ascii="Arial" w:eastAsia="Arial" w:hAnsi="Arial" w:cs="Arial"/>
          <w:color w:val="010000"/>
          <w:sz w:val="20"/>
          <w:szCs w:val="20"/>
        </w:rPr>
      </w:pPr>
      <w:r w:rsidRPr="006F1BAA">
        <w:rPr>
          <w:rFonts w:ascii="Arial" w:hAnsi="Arial" w:cs="Arial"/>
          <w:color w:val="010000"/>
          <w:sz w:val="20"/>
        </w:rPr>
        <w:t>Appropriate</w:t>
      </w:r>
      <w:r w:rsidR="00B02B22" w:rsidRPr="006F1BAA">
        <w:rPr>
          <w:rFonts w:ascii="Arial" w:hAnsi="Arial" w:cs="Arial"/>
          <w:color w:val="010000"/>
          <w:sz w:val="20"/>
        </w:rPr>
        <w:t xml:space="preserve"> for</w:t>
      </w:r>
      <w:r w:rsidRPr="006F1BAA">
        <w:rPr>
          <w:rFonts w:ascii="Arial" w:hAnsi="Arial" w:cs="Arial"/>
          <w:color w:val="010000"/>
          <w:sz w:val="20"/>
        </w:rPr>
        <w:t xml:space="preserve"> the Bonus fund for the Executive Management Board: VND 368,931,415.</w:t>
      </w:r>
    </w:p>
    <w:p w14:paraId="00000024" w14:textId="65099384" w:rsidR="006431E2" w:rsidRPr="006F1BAA" w:rsidRDefault="00411154" w:rsidP="00C8544F">
      <w:pPr>
        <w:numPr>
          <w:ilvl w:val="0"/>
          <w:numId w:val="4"/>
        </w:numPr>
        <w:pBdr>
          <w:top w:val="nil"/>
          <w:left w:val="nil"/>
          <w:bottom w:val="nil"/>
          <w:right w:val="nil"/>
          <w:between w:val="nil"/>
        </w:pBdr>
        <w:tabs>
          <w:tab w:val="left" w:pos="284"/>
          <w:tab w:val="left" w:pos="2472"/>
        </w:tabs>
        <w:spacing w:after="120" w:line="360" w:lineRule="auto"/>
        <w:jc w:val="both"/>
        <w:rPr>
          <w:rFonts w:ascii="Arial" w:eastAsia="Arial" w:hAnsi="Arial" w:cs="Arial"/>
          <w:color w:val="010000"/>
          <w:sz w:val="20"/>
          <w:szCs w:val="20"/>
        </w:rPr>
      </w:pPr>
      <w:r w:rsidRPr="006F1BAA">
        <w:rPr>
          <w:rFonts w:ascii="Arial" w:hAnsi="Arial" w:cs="Arial"/>
          <w:color w:val="010000"/>
          <w:sz w:val="20"/>
        </w:rPr>
        <w:t>Retained undistributed profit after tax VND 9,918,844,333.</w:t>
      </w:r>
    </w:p>
    <w:p w14:paraId="00000025" w14:textId="6BDEC53B" w:rsidR="006431E2" w:rsidRPr="006F1BAA" w:rsidRDefault="00411154" w:rsidP="00C8544F">
      <w:pPr>
        <w:numPr>
          <w:ilvl w:val="0"/>
          <w:numId w:val="4"/>
        </w:numPr>
        <w:pBdr>
          <w:top w:val="nil"/>
          <w:left w:val="nil"/>
          <w:bottom w:val="nil"/>
          <w:right w:val="nil"/>
          <w:between w:val="nil"/>
        </w:pBdr>
        <w:tabs>
          <w:tab w:val="left" w:pos="284"/>
          <w:tab w:val="left" w:pos="2479"/>
        </w:tabs>
        <w:spacing w:after="120" w:line="360" w:lineRule="auto"/>
        <w:jc w:val="both"/>
        <w:rPr>
          <w:rFonts w:ascii="Arial" w:eastAsia="Arial" w:hAnsi="Arial" w:cs="Arial"/>
          <w:color w:val="010000"/>
          <w:sz w:val="20"/>
          <w:szCs w:val="20"/>
        </w:rPr>
      </w:pPr>
      <w:r w:rsidRPr="006F1BAA">
        <w:rPr>
          <w:rFonts w:ascii="Arial" w:hAnsi="Arial" w:cs="Arial"/>
          <w:color w:val="010000"/>
          <w:sz w:val="20"/>
        </w:rPr>
        <w:t>The record date for the list of shareholders to pay remaining dividends 2023 in cash equivalent to 4.64% of charter capital (after deducting the dividend</w:t>
      </w:r>
      <w:r w:rsidR="00B02B22" w:rsidRPr="006F1BAA">
        <w:rPr>
          <w:rFonts w:ascii="Arial" w:hAnsi="Arial" w:cs="Arial"/>
          <w:color w:val="010000"/>
          <w:sz w:val="20"/>
        </w:rPr>
        <w:t xml:space="preserve"> prepayment</w:t>
      </w:r>
      <w:r w:rsidRPr="006F1BAA">
        <w:rPr>
          <w:rFonts w:ascii="Arial" w:hAnsi="Arial" w:cs="Arial"/>
          <w:color w:val="010000"/>
          <w:sz w:val="20"/>
        </w:rPr>
        <w:t xml:space="preserve"> 2023 in cash equivalent to 7.5% of charter capital and dividend payment rate equivalent to 2.86% of charter capital from the </w:t>
      </w:r>
      <w:r w:rsidR="00B02B22" w:rsidRPr="006F1BAA">
        <w:rPr>
          <w:rFonts w:ascii="Arial" w:hAnsi="Arial" w:cs="Arial"/>
          <w:color w:val="010000"/>
          <w:sz w:val="20"/>
        </w:rPr>
        <w:t xml:space="preserve">reversal of </w:t>
      </w:r>
      <w:r w:rsidRPr="006F1BAA">
        <w:rPr>
          <w:rFonts w:ascii="Arial" w:hAnsi="Arial" w:cs="Arial"/>
          <w:color w:val="010000"/>
          <w:sz w:val="20"/>
        </w:rPr>
        <w:t>the Development Investment Fund into realized profit after tax): The General Meeting of Shareholders authorizes the Board of Directors to implement.</w:t>
      </w:r>
    </w:p>
    <w:p w14:paraId="00000026" w14:textId="77777777" w:rsidR="006431E2" w:rsidRPr="006F1BAA" w:rsidRDefault="00411154" w:rsidP="00C8544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6F1BAA">
        <w:rPr>
          <w:rFonts w:ascii="Arial" w:hAnsi="Arial" w:cs="Arial"/>
          <w:color w:val="010000"/>
          <w:sz w:val="20"/>
        </w:rPr>
        <w:t>‎‎Article 5. Approve the Report on activities of the Board of Directors 2023 and the Mission Plan 2024.</w:t>
      </w:r>
    </w:p>
    <w:p w14:paraId="00000027" w14:textId="77777777" w:rsidR="006431E2" w:rsidRPr="006F1BAA" w:rsidRDefault="00411154" w:rsidP="00C8544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6F1BAA">
        <w:rPr>
          <w:rFonts w:ascii="Arial" w:hAnsi="Arial" w:cs="Arial"/>
          <w:color w:val="010000"/>
          <w:sz w:val="20"/>
        </w:rPr>
        <w:t>‎‎Article 6. Approve the Report on activities of the Supervisory Board 2023 and the Operational Plan 2024;</w:t>
      </w:r>
    </w:p>
    <w:p w14:paraId="00000028" w14:textId="77777777" w:rsidR="006431E2" w:rsidRPr="006F1BAA" w:rsidRDefault="00411154" w:rsidP="00C8544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6F1BAA">
        <w:rPr>
          <w:rFonts w:ascii="Arial" w:hAnsi="Arial" w:cs="Arial"/>
          <w:color w:val="010000"/>
          <w:sz w:val="20"/>
        </w:rPr>
        <w:t>‎‎Article 7. Select an audit company for the Financial Statements 2024.</w:t>
      </w:r>
    </w:p>
    <w:p w14:paraId="00000029" w14:textId="5C415CF2" w:rsidR="006431E2" w:rsidRPr="006F1BAA" w:rsidRDefault="00411154" w:rsidP="00C8544F">
      <w:pPr>
        <w:numPr>
          <w:ilvl w:val="0"/>
          <w:numId w:val="4"/>
        </w:numPr>
        <w:pBdr>
          <w:top w:val="nil"/>
          <w:left w:val="nil"/>
          <w:bottom w:val="nil"/>
          <w:right w:val="nil"/>
          <w:between w:val="nil"/>
        </w:pBdr>
        <w:tabs>
          <w:tab w:val="left" w:pos="284"/>
          <w:tab w:val="left" w:pos="2479"/>
        </w:tabs>
        <w:spacing w:after="120" w:line="360" w:lineRule="auto"/>
        <w:jc w:val="both"/>
        <w:rPr>
          <w:rFonts w:ascii="Arial" w:eastAsia="Arial" w:hAnsi="Arial" w:cs="Arial"/>
          <w:color w:val="010000"/>
          <w:sz w:val="20"/>
          <w:szCs w:val="20"/>
        </w:rPr>
      </w:pPr>
      <w:r w:rsidRPr="006F1BAA">
        <w:rPr>
          <w:rFonts w:ascii="Arial" w:hAnsi="Arial" w:cs="Arial"/>
          <w:color w:val="010000"/>
          <w:sz w:val="20"/>
        </w:rPr>
        <w:t xml:space="preserve">Approve the list of independent audit companies to select an audit company to review the Semi-annual Financial Statements and the Financial Statements 2024 (collectively referred to as audit of the Financial Statements 2024) of Quang Ninh Thermal power joint stock company, including: i) Ernst &amp; Young Vietnam Limited; ii) PwC (Vietnam) Limited; iii) BDO Audit Services Co., Ltd; iv) International Auditing Company Limited. </w:t>
      </w:r>
    </w:p>
    <w:p w14:paraId="0000002A" w14:textId="1D2764C9" w:rsidR="006431E2" w:rsidRPr="006F1BAA" w:rsidRDefault="00411154" w:rsidP="00C8544F">
      <w:pPr>
        <w:numPr>
          <w:ilvl w:val="0"/>
          <w:numId w:val="4"/>
        </w:numPr>
        <w:pBdr>
          <w:top w:val="nil"/>
          <w:left w:val="nil"/>
          <w:bottom w:val="nil"/>
          <w:right w:val="nil"/>
          <w:between w:val="nil"/>
        </w:pBdr>
        <w:tabs>
          <w:tab w:val="left" w:pos="284"/>
          <w:tab w:val="left" w:pos="2479"/>
        </w:tabs>
        <w:spacing w:after="120" w:line="360" w:lineRule="auto"/>
        <w:jc w:val="both"/>
        <w:rPr>
          <w:rFonts w:ascii="Arial" w:eastAsia="Arial" w:hAnsi="Arial" w:cs="Arial"/>
          <w:color w:val="010000"/>
          <w:sz w:val="20"/>
          <w:szCs w:val="20"/>
        </w:rPr>
      </w:pPr>
      <w:r w:rsidRPr="006F1BAA">
        <w:rPr>
          <w:rFonts w:ascii="Arial" w:hAnsi="Arial" w:cs="Arial"/>
          <w:color w:val="010000"/>
          <w:sz w:val="20"/>
        </w:rPr>
        <w:t xml:space="preserve">Authorize the Board of Directors of QTP to decide to select an audit company for QTP's Financial Statements 2024 from the list of audit </w:t>
      </w:r>
      <w:r w:rsidR="00B02B22" w:rsidRPr="006F1BAA">
        <w:rPr>
          <w:rFonts w:ascii="Arial" w:hAnsi="Arial" w:cs="Arial"/>
          <w:color w:val="010000"/>
          <w:sz w:val="20"/>
        </w:rPr>
        <w:t>companies</w:t>
      </w:r>
      <w:r w:rsidRPr="006F1BAA">
        <w:rPr>
          <w:rFonts w:ascii="Arial" w:hAnsi="Arial" w:cs="Arial"/>
          <w:color w:val="010000"/>
          <w:sz w:val="20"/>
        </w:rPr>
        <w:t xml:space="preserve"> mentioned above.</w:t>
      </w:r>
    </w:p>
    <w:p w14:paraId="0000002B" w14:textId="4BE9E65C" w:rsidR="006431E2" w:rsidRPr="006F1BAA" w:rsidRDefault="00411154" w:rsidP="00C8544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6F1BAA">
        <w:rPr>
          <w:rFonts w:ascii="Arial" w:hAnsi="Arial" w:cs="Arial"/>
          <w:color w:val="010000"/>
          <w:sz w:val="20"/>
        </w:rPr>
        <w:t>‎‎Article 8. Approve the settlement of salaries and remunerations for the Company's managers 2023 and the salary and remuneration plan for the Company's managers 2024:</w:t>
      </w:r>
    </w:p>
    <w:p w14:paraId="31B243F4" w14:textId="53F901EF" w:rsidR="00411154" w:rsidRPr="006F1BAA" w:rsidRDefault="00411154" w:rsidP="00C8544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6F1BAA">
        <w:rPr>
          <w:rFonts w:ascii="Arial" w:hAnsi="Arial" w:cs="Arial"/>
          <w:color w:val="010000"/>
          <w:sz w:val="20"/>
        </w:rPr>
        <w:lastRenderedPageBreak/>
        <w:t>1</w:t>
      </w:r>
      <w:r w:rsidRPr="006F1BAA">
        <w:rPr>
          <w:rFonts w:ascii="Arial" w:hAnsi="Arial" w:cs="Arial"/>
          <w:color w:val="010000"/>
          <w:sz w:val="20"/>
        </w:rPr>
        <w:tab/>
        <w:t>Settle the salary and remuneration fund of the Company's managers 2023 with the value of VND 4,979,191,483. In which:</w:t>
      </w:r>
    </w:p>
    <w:p w14:paraId="1EE5BC63" w14:textId="7FB37CD6" w:rsidR="00411154" w:rsidRPr="006F1BAA" w:rsidRDefault="00411154" w:rsidP="00C8544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6F1BAA">
        <w:rPr>
          <w:rFonts w:ascii="Arial" w:hAnsi="Arial" w:cs="Arial"/>
          <w:color w:val="010000"/>
          <w:sz w:val="20"/>
        </w:rPr>
        <w:t>- The salary and remuneration fund of the Company’s managers 2023 is VND 4,427,176,974.</w:t>
      </w:r>
    </w:p>
    <w:p w14:paraId="6E78E626" w14:textId="23C92537" w:rsidR="00411154" w:rsidRPr="006F1BAA" w:rsidRDefault="00411154" w:rsidP="00C8544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6F1BAA">
        <w:rPr>
          <w:rFonts w:ascii="Arial" w:hAnsi="Arial" w:cs="Arial"/>
          <w:color w:val="010000"/>
          <w:sz w:val="20"/>
        </w:rPr>
        <w:t>- Electricity Safety Fund 2023 is: VND 552,014,509.</w:t>
      </w:r>
    </w:p>
    <w:p w14:paraId="673740D8" w14:textId="485293E6" w:rsidR="00411154" w:rsidRPr="006F1BAA" w:rsidRDefault="00411154" w:rsidP="00C8544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6F1BAA">
        <w:rPr>
          <w:rFonts w:ascii="Arial" w:hAnsi="Arial" w:cs="Arial"/>
          <w:color w:val="010000"/>
          <w:sz w:val="20"/>
        </w:rPr>
        <w:t>2</w:t>
      </w:r>
      <w:r w:rsidRPr="006F1BAA">
        <w:rPr>
          <w:rFonts w:ascii="Arial" w:hAnsi="Arial" w:cs="Arial"/>
          <w:color w:val="010000"/>
          <w:sz w:val="20"/>
        </w:rPr>
        <w:tab/>
        <w:t>Approve the salary and remuneration plan for the Company's managers 2024 as follows:</w:t>
      </w:r>
    </w:p>
    <w:p w14:paraId="0F85F774" w14:textId="3E73B825" w:rsidR="00411154" w:rsidRPr="006F1BAA" w:rsidRDefault="00411154" w:rsidP="00C8544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6F1BAA">
        <w:rPr>
          <w:rFonts w:ascii="Arial" w:hAnsi="Arial" w:cs="Arial"/>
          <w:color w:val="010000"/>
          <w:sz w:val="20"/>
        </w:rPr>
        <w:t>The total planned salary and remuneration fund of the Company’s managers is: VND 5,030,744,640; in which:</w:t>
      </w:r>
    </w:p>
    <w:p w14:paraId="2172CF7F" w14:textId="30237E36" w:rsidR="00411154" w:rsidRPr="006F1BAA" w:rsidRDefault="00B02B22" w:rsidP="00C8544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6F1BAA">
        <w:rPr>
          <w:rFonts w:ascii="Arial" w:hAnsi="Arial" w:cs="Arial"/>
          <w:color w:val="010000"/>
          <w:sz w:val="20"/>
        </w:rPr>
        <w:t xml:space="preserve">- </w:t>
      </w:r>
      <w:r w:rsidR="00411154" w:rsidRPr="006F1BAA">
        <w:rPr>
          <w:rFonts w:ascii="Arial" w:hAnsi="Arial" w:cs="Arial"/>
          <w:color w:val="010000"/>
          <w:sz w:val="20"/>
        </w:rPr>
        <w:t>The salary and remuneration fund of managers: The planned salary and remuneration fund of the Company’s managers is: VND 4,559,532,000.</w:t>
      </w:r>
    </w:p>
    <w:p w14:paraId="4C8EF102" w14:textId="0CFCB0DB" w:rsidR="00411154" w:rsidRPr="006F1BAA" w:rsidRDefault="00B02B22" w:rsidP="00C8544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6F1BAA">
        <w:rPr>
          <w:rFonts w:ascii="Arial" w:hAnsi="Arial" w:cs="Arial"/>
          <w:color w:val="010000"/>
          <w:sz w:val="20"/>
        </w:rPr>
        <w:t xml:space="preserve">- </w:t>
      </w:r>
      <w:r w:rsidR="00411154" w:rsidRPr="006F1BAA">
        <w:rPr>
          <w:rFonts w:ascii="Arial" w:hAnsi="Arial" w:cs="Arial"/>
          <w:color w:val="010000"/>
          <w:sz w:val="20"/>
        </w:rPr>
        <w:t>The electrical safety bonus fund for managers: VND 471,212,640.</w:t>
      </w:r>
    </w:p>
    <w:p w14:paraId="22C0CA92" w14:textId="4A985C04" w:rsidR="00411154" w:rsidRPr="006F1BAA" w:rsidRDefault="00B02B22" w:rsidP="00C8544F">
      <w:pPr>
        <w:pStyle w:val="ListParagraph"/>
        <w:numPr>
          <w:ilvl w:val="0"/>
          <w:numId w:val="5"/>
        </w:numPr>
        <w:pBdr>
          <w:top w:val="nil"/>
          <w:left w:val="nil"/>
          <w:bottom w:val="nil"/>
          <w:right w:val="nil"/>
          <w:between w:val="nil"/>
        </w:pBdr>
        <w:tabs>
          <w:tab w:val="left" w:pos="284"/>
        </w:tabs>
        <w:spacing w:after="120" w:line="360" w:lineRule="auto"/>
        <w:ind w:left="0" w:firstLine="0"/>
        <w:contextualSpacing w:val="0"/>
        <w:jc w:val="both"/>
        <w:rPr>
          <w:rFonts w:ascii="Arial" w:eastAsia="Arial" w:hAnsi="Arial" w:cs="Arial"/>
          <w:color w:val="010000"/>
          <w:sz w:val="20"/>
          <w:szCs w:val="20"/>
        </w:rPr>
      </w:pPr>
      <w:r w:rsidRPr="006F1BAA">
        <w:rPr>
          <w:rFonts w:ascii="Arial" w:hAnsi="Arial" w:cs="Arial"/>
          <w:color w:val="010000"/>
          <w:sz w:val="20"/>
        </w:rPr>
        <w:t>Implementation d</w:t>
      </w:r>
      <w:r w:rsidR="00411154" w:rsidRPr="006F1BAA">
        <w:rPr>
          <w:rFonts w:ascii="Arial" w:hAnsi="Arial" w:cs="Arial"/>
          <w:color w:val="010000"/>
          <w:sz w:val="20"/>
        </w:rPr>
        <w:t>uring the year:</w:t>
      </w:r>
    </w:p>
    <w:p w14:paraId="59280BA5" w14:textId="3A7627F4" w:rsidR="00411154" w:rsidRPr="006F1BAA" w:rsidRDefault="00411154" w:rsidP="00C8544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6F1BAA">
        <w:rPr>
          <w:rFonts w:ascii="Arial" w:hAnsi="Arial" w:cs="Arial"/>
          <w:color w:val="010000"/>
          <w:sz w:val="20"/>
        </w:rPr>
        <w:t>- In case there is a change in the policy mechanism regarding salaries and remuneration of managers, the Company will proactively update the planned salary and remuneration fund in accordance with the provisions of labor law.</w:t>
      </w:r>
    </w:p>
    <w:p w14:paraId="2300C402" w14:textId="7CEFA615" w:rsidR="00411154" w:rsidRPr="006F1BAA" w:rsidRDefault="00411154" w:rsidP="00C8544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6F1BAA">
        <w:rPr>
          <w:rFonts w:ascii="Arial" w:hAnsi="Arial" w:cs="Arial"/>
          <w:color w:val="010000"/>
          <w:sz w:val="20"/>
        </w:rPr>
        <w:t xml:space="preserve">- In case there is a change (increase or decrease) in the number of members participating in the Board of Directors, the Supervisory Board or due to a change in the nature of </w:t>
      </w:r>
      <w:r w:rsidR="00B02B22" w:rsidRPr="006F1BAA">
        <w:rPr>
          <w:rFonts w:ascii="Arial" w:hAnsi="Arial" w:cs="Arial"/>
          <w:color w:val="010000"/>
          <w:sz w:val="20"/>
        </w:rPr>
        <w:t>executive</w:t>
      </w:r>
      <w:r w:rsidRPr="006F1BAA">
        <w:rPr>
          <w:rFonts w:ascii="Arial" w:hAnsi="Arial" w:cs="Arial"/>
          <w:color w:val="010000"/>
          <w:sz w:val="20"/>
        </w:rPr>
        <w:t xml:space="preserve"> or non-</w:t>
      </w:r>
      <w:r w:rsidR="00B02B22" w:rsidRPr="006F1BAA">
        <w:rPr>
          <w:rFonts w:ascii="Arial" w:hAnsi="Arial" w:cs="Arial"/>
          <w:color w:val="010000"/>
          <w:sz w:val="20"/>
        </w:rPr>
        <w:t xml:space="preserve">executive </w:t>
      </w:r>
      <w:r w:rsidRPr="006F1BAA">
        <w:rPr>
          <w:rFonts w:ascii="Arial" w:hAnsi="Arial" w:cs="Arial"/>
          <w:color w:val="010000"/>
          <w:sz w:val="20"/>
        </w:rPr>
        <w:t>compared to the time of determining the planned salary fund, the Board of Directors will approve the adjustment (increase or decrease)</w:t>
      </w:r>
      <w:r w:rsidR="00B02B22" w:rsidRPr="006F1BAA">
        <w:rPr>
          <w:rFonts w:ascii="Arial" w:hAnsi="Arial" w:cs="Arial"/>
          <w:color w:val="010000"/>
          <w:sz w:val="20"/>
        </w:rPr>
        <w:t xml:space="preserve"> of</w:t>
      </w:r>
      <w:r w:rsidRPr="006F1BAA">
        <w:rPr>
          <w:rFonts w:ascii="Arial" w:hAnsi="Arial" w:cs="Arial"/>
          <w:color w:val="010000"/>
          <w:sz w:val="20"/>
        </w:rPr>
        <w:t xml:space="preserve"> the salary fund according to changes (increase or decrease) in the number of members of the Board of Directors, members of the Supervisory Board or the nature of </w:t>
      </w:r>
      <w:r w:rsidR="00B02B22" w:rsidRPr="006F1BAA">
        <w:rPr>
          <w:rFonts w:ascii="Arial" w:hAnsi="Arial" w:cs="Arial"/>
          <w:color w:val="010000"/>
          <w:sz w:val="20"/>
        </w:rPr>
        <w:t>executive</w:t>
      </w:r>
      <w:r w:rsidRPr="006F1BAA">
        <w:rPr>
          <w:rFonts w:ascii="Arial" w:hAnsi="Arial" w:cs="Arial"/>
          <w:color w:val="010000"/>
          <w:sz w:val="20"/>
        </w:rPr>
        <w:t xml:space="preserve"> or non-</w:t>
      </w:r>
      <w:r w:rsidR="00B02B22" w:rsidRPr="006F1BAA">
        <w:rPr>
          <w:rFonts w:ascii="Arial" w:hAnsi="Arial" w:cs="Arial"/>
          <w:color w:val="010000"/>
          <w:sz w:val="20"/>
        </w:rPr>
        <w:t>executive</w:t>
      </w:r>
      <w:r w:rsidRPr="006F1BAA">
        <w:rPr>
          <w:rFonts w:ascii="Arial" w:hAnsi="Arial" w:cs="Arial"/>
          <w:color w:val="010000"/>
          <w:sz w:val="20"/>
        </w:rPr>
        <w:t>, remuneration level of the Chair, members of the Board of Directors and the Chief, members of the Supervisory Board who are non-</w:t>
      </w:r>
      <w:r w:rsidR="00B02B22" w:rsidRPr="006F1BAA">
        <w:rPr>
          <w:rFonts w:ascii="Arial" w:hAnsi="Arial" w:cs="Arial"/>
          <w:color w:val="010000"/>
          <w:sz w:val="20"/>
        </w:rPr>
        <w:t>executive</w:t>
      </w:r>
      <w:r w:rsidRPr="006F1BAA">
        <w:rPr>
          <w:rFonts w:ascii="Arial" w:hAnsi="Arial" w:cs="Arial"/>
          <w:color w:val="010000"/>
          <w:sz w:val="20"/>
        </w:rPr>
        <w:t xml:space="preserve"> </w:t>
      </w:r>
      <w:r w:rsidR="00B02B22" w:rsidRPr="006F1BAA">
        <w:rPr>
          <w:rFonts w:ascii="Arial" w:hAnsi="Arial" w:cs="Arial"/>
          <w:color w:val="010000"/>
          <w:sz w:val="20"/>
        </w:rPr>
        <w:t xml:space="preserve">which </w:t>
      </w:r>
      <w:r w:rsidRPr="006F1BAA">
        <w:rPr>
          <w:rFonts w:ascii="Arial" w:hAnsi="Arial" w:cs="Arial"/>
          <w:color w:val="010000"/>
          <w:sz w:val="20"/>
        </w:rPr>
        <w:t xml:space="preserve">is 20% of the </w:t>
      </w:r>
      <w:r w:rsidR="00B02B22" w:rsidRPr="006F1BAA">
        <w:rPr>
          <w:rFonts w:ascii="Arial" w:hAnsi="Arial" w:cs="Arial"/>
          <w:color w:val="010000"/>
          <w:sz w:val="20"/>
        </w:rPr>
        <w:t>executive</w:t>
      </w:r>
      <w:r w:rsidRPr="006F1BAA">
        <w:rPr>
          <w:rFonts w:ascii="Arial" w:hAnsi="Arial" w:cs="Arial"/>
          <w:color w:val="010000"/>
          <w:sz w:val="20"/>
        </w:rPr>
        <w:t xml:space="preserve"> position.</w:t>
      </w:r>
    </w:p>
    <w:p w14:paraId="0000002C" w14:textId="77777777" w:rsidR="006431E2" w:rsidRPr="006F1BAA" w:rsidRDefault="00411154" w:rsidP="00C8544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6F1BAA">
        <w:rPr>
          <w:rFonts w:ascii="Arial" w:hAnsi="Arial" w:cs="Arial"/>
          <w:color w:val="010000"/>
          <w:sz w:val="20"/>
        </w:rPr>
        <w:t>‎‎Article 9. Approve amendments and supplements to the Charter of organization and operation of the Company "adding item u to Clause 2, Article 33: Temporarily approve the annual production and business plan as a basis for approving the contractor selection plan and will report at the General Meeting of Shareholders to approve the official production and business plan.</w:t>
      </w:r>
    </w:p>
    <w:p w14:paraId="0000002D" w14:textId="604E033E" w:rsidR="006431E2" w:rsidRPr="006F1BAA" w:rsidRDefault="00411154" w:rsidP="00C8544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6F1BAA">
        <w:rPr>
          <w:rFonts w:ascii="Arial" w:hAnsi="Arial" w:cs="Arial"/>
          <w:color w:val="010000"/>
          <w:sz w:val="20"/>
        </w:rPr>
        <w:t>‎‎Article 10. This General Mandate has been approved by the Annual General Meeting of Shareholders 2024 of Quang Ninh Thermal power joint stock company and takes effect from April 27, 2024.</w:t>
      </w:r>
    </w:p>
    <w:p w14:paraId="0000002E" w14:textId="77777777" w:rsidR="006431E2" w:rsidRPr="006F1BAA" w:rsidRDefault="00411154" w:rsidP="00C8544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bookmarkStart w:id="1" w:name="_heading=h.gjdgxs"/>
      <w:bookmarkEnd w:id="1"/>
      <w:r w:rsidRPr="006F1BAA">
        <w:rPr>
          <w:rFonts w:ascii="Arial" w:hAnsi="Arial" w:cs="Arial"/>
          <w:color w:val="010000"/>
          <w:sz w:val="20"/>
        </w:rPr>
        <w:t>‎‎Article 11. The General Meeting of Shareholders assigned the Board of Directors of the Company to successfully execute the contents of the General Mandate./.</w:t>
      </w:r>
    </w:p>
    <w:sectPr w:rsidR="006431E2" w:rsidRPr="006F1BAA" w:rsidSect="00C8544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E4907"/>
    <w:multiLevelType w:val="multilevel"/>
    <w:tmpl w:val="866C589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8FD2BBD"/>
    <w:multiLevelType w:val="hybridMultilevel"/>
    <w:tmpl w:val="C47E9996"/>
    <w:lvl w:ilvl="0" w:tplc="8AC89968">
      <w:start w:val="1"/>
      <w:numFmt w:val="bullet"/>
      <w:lvlText w:val="*"/>
      <w:lvlJc w:val="left"/>
      <w:pPr>
        <w:ind w:left="720" w:hanging="360"/>
      </w:pPr>
      <w:rPr>
        <w:rFonts w:ascii="Arial" w:hAnsi="Arial" w:hint="default"/>
        <w:b w:val="0"/>
        <w:i w:val="0"/>
        <w:sz w:val="20"/>
      </w:rPr>
    </w:lvl>
    <w:lvl w:ilvl="1" w:tplc="FFAC24A4" w:tentative="1">
      <w:start w:val="1"/>
      <w:numFmt w:val="bullet"/>
      <w:lvlText w:val="o"/>
      <w:lvlJc w:val="left"/>
      <w:pPr>
        <w:ind w:left="1440" w:hanging="360"/>
      </w:pPr>
      <w:rPr>
        <w:rFonts w:ascii="Courier New" w:hAnsi="Courier New" w:cs="Courier New" w:hint="default"/>
        <w:b w:val="0"/>
        <w:i w:val="0"/>
        <w:sz w:val="20"/>
      </w:rPr>
    </w:lvl>
    <w:lvl w:ilvl="2" w:tplc="73C25A4A"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C57CA1"/>
    <w:multiLevelType w:val="multilevel"/>
    <w:tmpl w:val="FD9012E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5C365C4"/>
    <w:multiLevelType w:val="multilevel"/>
    <w:tmpl w:val="A18E3F7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6371334"/>
    <w:multiLevelType w:val="multilevel"/>
    <w:tmpl w:val="DBFE224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E2"/>
    <w:rsid w:val="00411154"/>
    <w:rsid w:val="006431E2"/>
    <w:rsid w:val="006F1BAA"/>
    <w:rsid w:val="00734E20"/>
    <w:rsid w:val="00B02B22"/>
    <w:rsid w:val="00C8544F"/>
    <w:rsid w:val="00DF003E"/>
    <w:rsid w:val="00ED4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6D71B"/>
  <w15:docId w15:val="{5F7B730C-1CD6-4C2E-9FAB-11558633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E4B4B"/>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222DCC"/>
      <w:sz w:val="34"/>
      <w:szCs w:val="34"/>
      <w:u w:val="none"/>
      <w:shd w:val="clear" w:color="auto" w:fill="auto"/>
    </w:rPr>
  </w:style>
  <w:style w:type="paragraph" w:customStyle="1" w:styleId="Bodytext30">
    <w:name w:val="Body text (3)"/>
    <w:basedOn w:val="Normal"/>
    <w:link w:val="Bodytext3"/>
    <w:pPr>
      <w:spacing w:line="166" w:lineRule="auto"/>
    </w:pPr>
    <w:rPr>
      <w:rFonts w:ascii="Arial" w:eastAsia="Arial" w:hAnsi="Arial" w:cs="Arial"/>
    </w:rPr>
  </w:style>
  <w:style w:type="paragraph" w:customStyle="1" w:styleId="Bodytext40">
    <w:name w:val="Body text (4)"/>
    <w:basedOn w:val="Normal"/>
    <w:link w:val="Bodytext4"/>
    <w:pPr>
      <w:spacing w:after="60" w:line="175" w:lineRule="auto"/>
    </w:pPr>
    <w:rPr>
      <w:rFonts w:ascii="Arial" w:eastAsia="Arial" w:hAnsi="Arial" w:cs="Arial"/>
      <w:sz w:val="16"/>
      <w:szCs w:val="16"/>
    </w:rPr>
  </w:style>
  <w:style w:type="paragraph" w:styleId="BodyText">
    <w:name w:val="Body Text"/>
    <w:basedOn w:val="Normal"/>
    <w:link w:val="BodyTextChar"/>
    <w:qFormat/>
    <w:pPr>
      <w:spacing w:after="100"/>
    </w:pPr>
    <w:rPr>
      <w:rFonts w:ascii="Times New Roman" w:eastAsia="Times New Roman" w:hAnsi="Times New Roman" w:cs="Times New Roman"/>
      <w:sz w:val="28"/>
      <w:szCs w:val="28"/>
    </w:rPr>
  </w:style>
  <w:style w:type="paragraph" w:customStyle="1" w:styleId="Bodytext20">
    <w:name w:val="Body text (2)"/>
    <w:basedOn w:val="Normal"/>
    <w:link w:val="Bodytext2"/>
    <w:pPr>
      <w:ind w:firstLine="160"/>
    </w:pPr>
    <w:rPr>
      <w:rFonts w:ascii="Times New Roman" w:eastAsia="Times New Roman" w:hAnsi="Times New Roman" w:cs="Times New Roman"/>
      <w:sz w:val="22"/>
      <w:szCs w:val="22"/>
    </w:rPr>
  </w:style>
  <w:style w:type="paragraph" w:customStyle="1" w:styleId="Bodytext50">
    <w:name w:val="Body text (5)"/>
    <w:basedOn w:val="Normal"/>
    <w:link w:val="Bodytext5"/>
    <w:pPr>
      <w:spacing w:after="280"/>
      <w:ind w:right="1400"/>
      <w:jc w:val="right"/>
    </w:pPr>
    <w:rPr>
      <w:rFonts w:ascii="Times New Roman" w:eastAsia="Times New Roman" w:hAnsi="Times New Roman" w:cs="Times New Roman"/>
      <w:color w:val="FE4B4B"/>
      <w:sz w:val="20"/>
      <w:szCs w:val="20"/>
    </w:rPr>
  </w:style>
  <w:style w:type="paragraph" w:customStyle="1" w:styleId="Heading11">
    <w:name w:val="Heading #1"/>
    <w:basedOn w:val="Normal"/>
    <w:link w:val="Heading10"/>
    <w:pPr>
      <w:ind w:right="1400"/>
      <w:jc w:val="right"/>
      <w:outlineLvl w:val="0"/>
    </w:pPr>
    <w:rPr>
      <w:rFonts w:ascii="Times New Roman" w:eastAsia="Times New Roman" w:hAnsi="Times New Roman" w:cs="Times New Roman"/>
      <w:color w:val="222DCC"/>
      <w:sz w:val="34"/>
      <w:szCs w:val="3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11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JmGOkTVJVyAR32L4pILYJJ+GAg==">CgMxLjAyCGguZ2pkZ3hzOAByITFBeWN5Rl9XLWxFZnVSeUNRNURROXl5eG5RNTdabXVGeQ==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2024-05-10T03:53:00Z</dcterms:created>
  <dcterms:modified xsi:type="dcterms:W3CDTF">2024-05-10T03:53:00Z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20348d1daa2bf3ece0c5e237bd0fcc2625d88acebbc074cd2d9529ec3853e4d6</vt:lpwstr>
  </property>
</Properties>
</file>