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81C5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D4CB7">
        <w:rPr>
          <w:rFonts w:ascii="Arial" w:hAnsi="Arial" w:cs="Arial"/>
          <w:b/>
          <w:color w:val="010000"/>
          <w:sz w:val="20"/>
        </w:rPr>
        <w:t>TVD: Annual General Mandate 2024</w:t>
      </w:r>
    </w:p>
    <w:p w14:paraId="4E824865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54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D4CB7">
        <w:rPr>
          <w:rFonts w:ascii="Arial" w:hAnsi="Arial" w:cs="Arial"/>
          <w:color w:val="010000"/>
          <w:sz w:val="20"/>
        </w:rPr>
        <w:t xml:space="preserve">On April 26, 2024, </w:t>
      </w:r>
      <w:proofErr w:type="spellStart"/>
      <w:r w:rsidRPr="001D4CB7">
        <w:rPr>
          <w:rFonts w:ascii="Arial" w:hAnsi="Arial" w:cs="Arial"/>
          <w:color w:val="010000"/>
          <w:sz w:val="20"/>
        </w:rPr>
        <w:t>Vinacomin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Joint Stock Company announced General Mandate No. 11/2024/NQ-DHDCD as follows: </w:t>
      </w:r>
    </w:p>
    <w:p w14:paraId="77201EC2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‎‎Article 1. Approve the Report on production and business Results 2023 and the orientation for 2024.</w:t>
      </w:r>
    </w:p>
    <w:p w14:paraId="2648F10A" w14:textId="1916E074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agreed to approve the Report on production and business results 2023 and the orientation for 2024 of </w:t>
      </w:r>
      <w:proofErr w:type="spellStart"/>
      <w:r w:rsidRPr="001D4CB7">
        <w:rPr>
          <w:rFonts w:ascii="Arial" w:hAnsi="Arial" w:cs="Arial"/>
          <w:color w:val="010000"/>
          <w:sz w:val="20"/>
        </w:rPr>
        <w:t>Vinacomin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Joint Stock Company with the following main targets:</w:t>
      </w:r>
    </w:p>
    <w:p w14:paraId="5753CA26" w14:textId="77777777" w:rsidR="00A85A5B" w:rsidRPr="001D4CB7" w:rsidRDefault="0093140E" w:rsidP="007C30B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Main targets achieved in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8"/>
        <w:gridCol w:w="3106"/>
        <w:gridCol w:w="1720"/>
        <w:gridCol w:w="1262"/>
        <w:gridCol w:w="941"/>
        <w:gridCol w:w="750"/>
        <w:gridCol w:w="590"/>
      </w:tblGrid>
      <w:tr w:rsidR="00A85A5B" w:rsidRPr="001D4CB7" w14:paraId="722A7EF1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EF28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7C3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BD751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02501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8646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01FAD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C176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A85A5B" w:rsidRPr="001D4CB7" w14:paraId="5B4454A7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4CA0D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8412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Raw coal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7FBE9" w14:textId="3040E7EF" w:rsidR="00A85A5B" w:rsidRPr="001D4CB7" w:rsidRDefault="00AE27F0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</w:t>
            </w:r>
            <w:r w:rsidR="0093140E" w:rsidRPr="001D4CB7">
              <w:rPr>
                <w:rFonts w:ascii="Arial" w:hAnsi="Arial" w:cs="Arial"/>
                <w:color w:val="010000"/>
                <w:sz w:val="20"/>
              </w:rPr>
              <w:t xml:space="preserve"> tons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800D1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3,985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456C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4,015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1C5B7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100.8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AEAF3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3307FF12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0658E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4DF1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Underground coal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F3B6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724F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3,335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27200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3,522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C220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105.6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2FB1B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36BF4B0D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11B39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E30B2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Surface coal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F1872" w14:textId="77777777" w:rsidR="00A85A5B" w:rsidRPr="001D4CB7" w:rsidRDefault="0093140E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9A9F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9B5A1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9BFF9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68F2A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0216D76A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EF0E3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C130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 xml:space="preserve">Coal purchased from </w:t>
            </w:r>
            <w:proofErr w:type="spellStart"/>
            <w:r w:rsidRPr="001D4CB7">
              <w:rPr>
                <w:rFonts w:ascii="Arial" w:hAnsi="Arial" w:cs="Arial"/>
                <w:color w:val="010000"/>
                <w:sz w:val="20"/>
              </w:rPr>
              <w:t>Vinacomin-Uong</w:t>
            </w:r>
            <w:proofErr w:type="spellEnd"/>
            <w:r w:rsidRPr="001D4CB7">
              <w:rPr>
                <w:rFonts w:ascii="Arial" w:hAnsi="Arial" w:cs="Arial"/>
                <w:color w:val="010000"/>
                <w:sz w:val="20"/>
              </w:rPr>
              <w:t xml:space="preserve"> Bi Coal Holding Company Limited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2AFDC" w14:textId="77777777" w:rsidR="00A85A5B" w:rsidRPr="001D4CB7" w:rsidRDefault="0093140E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16D3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550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82FE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494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25E9F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89.7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4F279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35374CD1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2AD9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B2B0B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Clean coal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F08A8" w14:textId="2581D970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 tons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BEFB2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3,515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75144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3,514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549C4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B902F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1184D519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ABD6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1CDB9" w14:textId="498382DA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 xml:space="preserve">New coal mines 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E04DB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 xml:space="preserve">Meters 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D0673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39,835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D28CB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40,074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2C45F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100.6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43512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613C855D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FE697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E05C6" w14:textId="772234D2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Rock and soil stripping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04B62" w14:textId="058D0ABE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 m</w:t>
            </w:r>
            <w:r w:rsidRPr="001D4CB7">
              <w:rPr>
                <w:rFonts w:ascii="Arial" w:hAnsi="Arial" w:cs="Arial"/>
                <w:color w:val="010000"/>
                <w:sz w:val="20"/>
                <w:vertAlign w:val="superscript"/>
              </w:rPr>
              <w:t>3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8A8E4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110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43F2A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836B4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76864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6C746662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53419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C91D4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Consumption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33753" w14:textId="0FAE0FFA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 tons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E45AB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3,515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374C8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3,608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3F752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102.7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3D662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0DAF854D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8B650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6E684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62C6C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2F63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6,287.2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D552E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6,536.4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9A970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104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624D3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1EF44314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99BD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D2C4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95699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BF025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156,172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876A2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175,600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C11B8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112.1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0BD1F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7A712AF4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E10A3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103CC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Construction investment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B8700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6AEF6" w14:textId="6E98FC03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447.24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31AC4" w14:textId="35C74501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355.1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68D5E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79.4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A49E1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48836D97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9DA55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9ED48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0CD68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Employees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4D7F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5,947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ECA25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5,801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DC0F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97.5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171B1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0329B786" w14:textId="77777777" w:rsidTr="00437854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00EF9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B4D7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Average salary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85E99" w14:textId="020B8629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 VND/person/ month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1D12C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17,147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26AA9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20,924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2C1F7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111.7</w:t>
            </w:r>
          </w:p>
        </w:tc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80235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272445A" w14:textId="77777777" w:rsidR="00A85A5B" w:rsidRPr="001D4CB7" w:rsidRDefault="0093140E" w:rsidP="007C30B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Production and business plan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8"/>
        <w:gridCol w:w="3510"/>
        <w:gridCol w:w="1721"/>
        <w:gridCol w:w="1380"/>
        <w:gridCol w:w="1738"/>
      </w:tblGrid>
      <w:tr w:rsidR="00A85A5B" w:rsidRPr="001D4CB7" w14:paraId="1E233747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52523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E849C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226C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7169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A2DFF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A85A5B" w:rsidRPr="001D4CB7" w14:paraId="470E8DAC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C55A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E4CEC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Raw coal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9B322" w14:textId="1377751F" w:rsidR="00A85A5B" w:rsidRPr="001D4CB7" w:rsidRDefault="00437854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</w:t>
            </w:r>
            <w:r w:rsidR="0093140E" w:rsidRPr="001D4CB7">
              <w:rPr>
                <w:rFonts w:ascii="Arial" w:hAnsi="Arial" w:cs="Arial"/>
                <w:color w:val="010000"/>
                <w:sz w:val="20"/>
              </w:rPr>
              <w:t xml:space="preserve"> tons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9D812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4,195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317A2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49D2BE66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DE803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A7D79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Surface coal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C889C" w14:textId="77777777" w:rsidR="00A85A5B" w:rsidRPr="001D4CB7" w:rsidRDefault="0093140E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1BA0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AE4A8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6A503D33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F1FD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4DA82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Underground coal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FACE7" w14:textId="77777777" w:rsidR="00A85A5B" w:rsidRPr="001D4CB7" w:rsidRDefault="0093140E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9078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3,600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30914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6592EECB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8ADF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68771" w14:textId="564821CD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 xml:space="preserve">Coal purchased </w:t>
            </w:r>
            <w:r w:rsidR="00437854" w:rsidRPr="001D4CB7">
              <w:rPr>
                <w:rFonts w:ascii="Arial" w:hAnsi="Arial" w:cs="Arial"/>
                <w:color w:val="010000"/>
                <w:sz w:val="20"/>
              </w:rPr>
              <w:t>from</w:t>
            </w:r>
            <w:r w:rsidRPr="001D4CB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1D4CB7">
              <w:rPr>
                <w:rFonts w:ascii="Arial" w:hAnsi="Arial" w:cs="Arial"/>
                <w:color w:val="010000"/>
                <w:sz w:val="20"/>
              </w:rPr>
              <w:t>Vinacomin-Uong</w:t>
            </w:r>
            <w:proofErr w:type="spellEnd"/>
            <w:r w:rsidRPr="001D4CB7">
              <w:rPr>
                <w:rFonts w:ascii="Arial" w:hAnsi="Arial" w:cs="Arial"/>
                <w:color w:val="010000"/>
                <w:sz w:val="20"/>
              </w:rPr>
              <w:t xml:space="preserve"> Bi Coal Holding Company Limited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6C20E" w14:textId="77777777" w:rsidR="00A85A5B" w:rsidRPr="001D4CB7" w:rsidRDefault="0093140E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F824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495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5CCE9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327711DB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FCE0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F5B5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Clean coal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054C0" w14:textId="48479E1E" w:rsidR="00A85A5B" w:rsidRPr="001D4CB7" w:rsidRDefault="00437854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</w:t>
            </w:r>
            <w:r w:rsidR="0093140E" w:rsidRPr="001D4CB7">
              <w:rPr>
                <w:rFonts w:ascii="Arial" w:hAnsi="Arial" w:cs="Arial"/>
                <w:color w:val="010000"/>
                <w:sz w:val="20"/>
              </w:rPr>
              <w:t xml:space="preserve"> tons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0276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3,691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4C2EE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2C7FBFF8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4DFE5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E05CA" w14:textId="7266F40C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Rock and soil stripping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12006" w14:textId="05308CCB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 m</w:t>
            </w:r>
            <w:r w:rsidRPr="001D4CB7">
              <w:rPr>
                <w:rFonts w:ascii="Arial" w:hAnsi="Arial" w:cs="Arial"/>
                <w:color w:val="010000"/>
                <w:sz w:val="20"/>
                <w:vertAlign w:val="superscript"/>
              </w:rPr>
              <w:t>3.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679F2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1,320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104BE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073CF5C5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469DB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DCB74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New coal mines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2F344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Meters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B2E2C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41,030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75036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6F1B24B9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D4B5A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08BCB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Coal consumption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FCB41" w14:textId="3F01894F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 tons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554A7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3,691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D74EA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5A436304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CC6D0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41246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DD2E2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FFE91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6,611,663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5F20B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747A59FA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A742E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7FFD8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EFA54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641E8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169,024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B2F81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08F3FF26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ABE3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0EBB9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Construction investment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FEF93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6AC4D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409,371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CCDE8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1E14FE33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FFB53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95133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CC2A5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Employees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3FD1B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6,381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1F01B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37854" w:rsidRPr="001D4CB7" w14:paraId="485DD4DA" w14:textId="77777777" w:rsidTr="007C30B8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89B75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0A26F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Average salary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4485F" w14:textId="0E86203B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Thousand VND/person/ month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972BA" w14:textId="77777777" w:rsidR="00437854" w:rsidRPr="001D4CB7" w:rsidRDefault="00437854" w:rsidP="0043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18,875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31A1F" w14:textId="77777777" w:rsidR="00437854" w:rsidRPr="001D4CB7" w:rsidRDefault="00437854" w:rsidP="00437854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2BB94DF" w14:textId="6824BD2B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Targets: Safely, economically, and effectively produce coal; renovate and perfect organization and corporate governance, boost production and business efficiency; continue to innovate and apply new and modern technologies; implement the enterprise digital transformation Plan.</w:t>
      </w:r>
      <w:r w:rsidR="007C30B8" w:rsidRPr="001D4CB7">
        <w:rPr>
          <w:rFonts w:ascii="Arial" w:hAnsi="Arial" w:cs="Arial"/>
          <w:color w:val="010000"/>
          <w:sz w:val="20"/>
        </w:rPr>
        <w:t xml:space="preserve"> </w:t>
      </w:r>
      <w:r w:rsidRPr="001D4CB7">
        <w:rPr>
          <w:rFonts w:ascii="Arial" w:hAnsi="Arial" w:cs="Arial"/>
          <w:color w:val="010000"/>
          <w:sz w:val="20"/>
        </w:rPr>
        <w:t xml:space="preserve">Ensure to meet the </w:t>
      </w:r>
      <w:r w:rsidR="00437854" w:rsidRPr="001D4CB7">
        <w:rPr>
          <w:rFonts w:ascii="Arial" w:hAnsi="Arial" w:cs="Arial"/>
          <w:color w:val="010000"/>
          <w:sz w:val="20"/>
        </w:rPr>
        <w:t>common</w:t>
      </w:r>
      <w:r w:rsidRPr="001D4CB7">
        <w:rPr>
          <w:rFonts w:ascii="Arial" w:hAnsi="Arial" w:cs="Arial"/>
          <w:color w:val="010000"/>
          <w:sz w:val="20"/>
        </w:rPr>
        <w:t xml:space="preserve"> goal “SAFETY- SOLIDARITY- PRODUCTIVITY- DEVELOPMENT”</w:t>
      </w:r>
    </w:p>
    <w:p w14:paraId="014B1B83" w14:textId="22673B52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Meeting authorizes the Board of Directors, based on the situation of production and business and consumption to execute the production and business plan 2024. </w:t>
      </w:r>
      <w:r w:rsidR="00437854" w:rsidRPr="001D4CB7">
        <w:rPr>
          <w:rFonts w:ascii="Arial" w:hAnsi="Arial" w:cs="Arial"/>
          <w:color w:val="010000"/>
          <w:sz w:val="20"/>
        </w:rPr>
        <w:t>If</w:t>
      </w:r>
      <w:r w:rsidRPr="001D4CB7">
        <w:rPr>
          <w:rFonts w:ascii="Arial" w:hAnsi="Arial" w:cs="Arial"/>
          <w:color w:val="010000"/>
          <w:sz w:val="20"/>
        </w:rPr>
        <w:t xml:space="preserve"> the conditions are favorable for production, business, and consumption,</w:t>
      </w:r>
      <w:r w:rsidR="007C30B8" w:rsidRPr="001D4CB7">
        <w:rPr>
          <w:rFonts w:ascii="Arial" w:hAnsi="Arial" w:cs="Arial"/>
          <w:color w:val="010000"/>
          <w:sz w:val="20"/>
        </w:rPr>
        <w:t xml:space="preserve"> </w:t>
      </w:r>
      <w:r w:rsidRPr="001D4CB7">
        <w:rPr>
          <w:rFonts w:ascii="Arial" w:hAnsi="Arial" w:cs="Arial"/>
          <w:color w:val="010000"/>
          <w:sz w:val="20"/>
        </w:rPr>
        <w:t>the Board of Directors has the rights to increase or decrease production and business targets to effectively ensure the benefits of shareholders and the Company.</w:t>
      </w:r>
    </w:p>
    <w:p w14:paraId="396B24AA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‎‎Article 2. Approve the Report on Activities of the Board of Directors in 2023 and the Plan for operations in 2022.</w:t>
      </w:r>
    </w:p>
    <w:p w14:paraId="5E6A70D0" w14:textId="228E9FAF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agreed to approve the Report on activities of the Board of Directors in 2023 and the Plan for operations in 2022.</w:t>
      </w:r>
    </w:p>
    <w:p w14:paraId="3476C5D0" w14:textId="44F9A110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‎‎Article 3. Approve the Report on </w:t>
      </w:r>
      <w:r w:rsidR="002A4371" w:rsidRPr="001D4CB7">
        <w:rPr>
          <w:rFonts w:ascii="Arial" w:hAnsi="Arial" w:cs="Arial"/>
          <w:color w:val="010000"/>
          <w:sz w:val="20"/>
        </w:rPr>
        <w:t xml:space="preserve">evaluating </w:t>
      </w:r>
      <w:r w:rsidRPr="001D4CB7">
        <w:rPr>
          <w:rFonts w:ascii="Arial" w:hAnsi="Arial" w:cs="Arial"/>
          <w:color w:val="010000"/>
          <w:sz w:val="20"/>
        </w:rPr>
        <w:t>the activities of the Board of Directors in 2023 by the independent member</w:t>
      </w:r>
      <w:r w:rsidR="002A4371" w:rsidRPr="001D4CB7">
        <w:rPr>
          <w:rFonts w:ascii="Arial" w:hAnsi="Arial" w:cs="Arial"/>
          <w:color w:val="010000"/>
          <w:sz w:val="20"/>
        </w:rPr>
        <w:t>s</w:t>
      </w:r>
      <w:r w:rsidRPr="001D4CB7">
        <w:rPr>
          <w:rFonts w:ascii="Arial" w:hAnsi="Arial" w:cs="Arial"/>
          <w:color w:val="010000"/>
          <w:sz w:val="20"/>
        </w:rPr>
        <w:t xml:space="preserve"> of the Board of Directors.</w:t>
      </w:r>
    </w:p>
    <w:p w14:paraId="4B8F85C4" w14:textId="5B510BEE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General Meeting agreed to approve </w:t>
      </w:r>
      <w:r w:rsidR="002A4371" w:rsidRPr="001D4CB7">
        <w:rPr>
          <w:rFonts w:ascii="Arial" w:hAnsi="Arial" w:cs="Arial"/>
          <w:color w:val="010000"/>
          <w:sz w:val="20"/>
        </w:rPr>
        <w:t>the Report on evaluating</w:t>
      </w:r>
      <w:r w:rsidRPr="001D4CB7">
        <w:rPr>
          <w:rFonts w:ascii="Arial" w:hAnsi="Arial" w:cs="Arial"/>
          <w:color w:val="010000"/>
          <w:sz w:val="20"/>
        </w:rPr>
        <w:t xml:space="preserve"> the activities of the B</w:t>
      </w:r>
      <w:r w:rsidR="00E409B3">
        <w:rPr>
          <w:rFonts w:ascii="Arial" w:hAnsi="Arial" w:cs="Arial"/>
          <w:color w:val="010000"/>
          <w:sz w:val="20"/>
        </w:rPr>
        <w:t>oard of Directors in 2023 by</w:t>
      </w:r>
      <w:r w:rsidRPr="001D4CB7">
        <w:rPr>
          <w:rFonts w:ascii="Arial" w:hAnsi="Arial" w:cs="Arial"/>
          <w:color w:val="010000"/>
          <w:sz w:val="20"/>
        </w:rPr>
        <w:t xml:space="preserve"> independent member</w:t>
      </w:r>
      <w:r w:rsidR="002A4371" w:rsidRPr="001D4CB7">
        <w:rPr>
          <w:rFonts w:ascii="Arial" w:hAnsi="Arial" w:cs="Arial"/>
          <w:color w:val="010000"/>
          <w:sz w:val="20"/>
        </w:rPr>
        <w:t>s</w:t>
      </w:r>
      <w:r w:rsidRPr="001D4CB7">
        <w:rPr>
          <w:rFonts w:ascii="Arial" w:hAnsi="Arial" w:cs="Arial"/>
          <w:color w:val="010000"/>
          <w:sz w:val="20"/>
        </w:rPr>
        <w:t xml:space="preserve"> of the Board of Directors.</w:t>
      </w:r>
    </w:p>
    <w:p w14:paraId="5C0B9BCC" w14:textId="7FFFF98D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‎‎Article 4. Approve the Financial Statements 2023 audited by AASC Auditing Firm</w:t>
      </w:r>
      <w:r w:rsidR="007C30B8" w:rsidRPr="001D4CB7">
        <w:rPr>
          <w:rFonts w:ascii="Arial" w:hAnsi="Arial" w:cs="Arial"/>
          <w:color w:val="010000"/>
          <w:sz w:val="20"/>
        </w:rPr>
        <w:t xml:space="preserve"> </w:t>
      </w:r>
      <w:r w:rsidRPr="001D4CB7">
        <w:rPr>
          <w:rFonts w:ascii="Arial" w:hAnsi="Arial" w:cs="Arial"/>
          <w:color w:val="010000"/>
          <w:sz w:val="20"/>
        </w:rPr>
        <w:t>Company Limited.</w:t>
      </w:r>
    </w:p>
    <w:p w14:paraId="4464DB05" w14:textId="5877EEE5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The General Meeting agreed to approve the Financial Statements 2023</w:t>
      </w:r>
      <w:r w:rsidR="002A4371" w:rsidRPr="001D4CB7">
        <w:rPr>
          <w:rFonts w:ascii="Arial" w:hAnsi="Arial" w:cs="Arial"/>
          <w:color w:val="010000"/>
          <w:sz w:val="20"/>
        </w:rPr>
        <w:t xml:space="preserve"> </w:t>
      </w:r>
      <w:r w:rsidRPr="001D4CB7">
        <w:rPr>
          <w:rFonts w:ascii="Arial" w:hAnsi="Arial" w:cs="Arial"/>
          <w:color w:val="010000"/>
          <w:sz w:val="20"/>
        </w:rPr>
        <w:t>audited by AASC Auditing Firm</w:t>
      </w:r>
      <w:r w:rsidR="007C30B8" w:rsidRPr="001D4CB7">
        <w:rPr>
          <w:rFonts w:ascii="Arial" w:hAnsi="Arial" w:cs="Arial"/>
          <w:color w:val="010000"/>
          <w:sz w:val="20"/>
        </w:rPr>
        <w:t xml:space="preserve"> </w:t>
      </w:r>
      <w:r w:rsidRPr="001D4CB7">
        <w:rPr>
          <w:rFonts w:ascii="Arial" w:hAnsi="Arial" w:cs="Arial"/>
          <w:color w:val="010000"/>
          <w:sz w:val="20"/>
        </w:rPr>
        <w:lastRenderedPageBreak/>
        <w:t>Company Limited.</w:t>
      </w:r>
    </w:p>
    <w:p w14:paraId="6C331698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‎‎Article 5. Approve the plan for profit distribution and appropriation for funds as well as the dividend payment rate in 2023;</w:t>
      </w:r>
    </w:p>
    <w:p w14:paraId="7EF6C5DE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The General Meeting agreed to approve the dividend payment and appropriation for funds in 2023 as follows:</w:t>
      </w:r>
    </w:p>
    <w:p w14:paraId="5C11D134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Profit before tax 2023: VND 175,610 Million</w:t>
      </w:r>
    </w:p>
    <w:p w14:paraId="3293A5F6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Corporate income tax 2023: VND 30,204 Million</w:t>
      </w:r>
    </w:p>
    <w:p w14:paraId="6552A1AF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Deferred corporate income tax: VND 7,219.7 Million</w:t>
      </w:r>
    </w:p>
    <w:p w14:paraId="2E11B62E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Profit after tax in 2023 (1-2-3): VND 138,186 Million</w:t>
      </w:r>
    </w:p>
    <w:p w14:paraId="7886C2FF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Distributed profit after tax in 2023: VND 137,691 Million</w:t>
      </w:r>
    </w:p>
    <w:p w14:paraId="64F3AAFE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Distributed profit after tax in 2022 transferred to 2023: VND 7,715 Million</w:t>
      </w:r>
    </w:p>
    <w:p w14:paraId="72F3C3F0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Total distributed profit in 2023 (5+6) VND 145,406 Million</w:t>
      </w:r>
    </w:p>
    <w:p w14:paraId="0CB0BD16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Remaining undistributed profit transferred to the following year: VND 64,007.3 Million</w:t>
      </w:r>
    </w:p>
    <w:p w14:paraId="7352A1DF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37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Dividend payment for shareholders with contributed capital rate (9%): VND 40,467 Million</w:t>
      </w:r>
    </w:p>
    <w:p w14:paraId="4418E0A5" w14:textId="77777777" w:rsidR="00A85A5B" w:rsidRPr="001D4CB7" w:rsidRDefault="0093140E" w:rsidP="00E40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2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After dividend payment, the remaining profit is distributed as follows:</w:t>
      </w:r>
    </w:p>
    <w:p w14:paraId="096F04DE" w14:textId="76FFAFF6" w:rsidR="00A85A5B" w:rsidRPr="001D4CB7" w:rsidRDefault="0093140E" w:rsidP="00E40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27"/>
          <w:tab w:val="left" w:pos="64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Investment and development fund (14% </w:t>
      </w:r>
      <w:r w:rsidR="002A4371" w:rsidRPr="001D4CB7">
        <w:rPr>
          <w:rFonts w:ascii="Arial" w:hAnsi="Arial" w:cs="Arial"/>
          <w:color w:val="010000"/>
          <w:sz w:val="20"/>
        </w:rPr>
        <w:t xml:space="preserve">of </w:t>
      </w:r>
      <w:r w:rsidRPr="001D4CB7">
        <w:rPr>
          <w:rFonts w:ascii="Arial" w:hAnsi="Arial" w:cs="Arial"/>
          <w:color w:val="010000"/>
          <w:sz w:val="20"/>
        </w:rPr>
        <w:t>profit after tax after dividend payment)</w:t>
      </w:r>
      <w:r w:rsidR="002A4371" w:rsidRPr="001D4CB7">
        <w:rPr>
          <w:rFonts w:ascii="Arial" w:hAnsi="Arial" w:cs="Arial"/>
          <w:color w:val="010000"/>
          <w:sz w:val="20"/>
        </w:rPr>
        <w:t>:</w:t>
      </w:r>
      <w:r w:rsidRPr="001D4CB7">
        <w:rPr>
          <w:rFonts w:ascii="Arial" w:hAnsi="Arial" w:cs="Arial"/>
          <w:color w:val="010000"/>
          <w:sz w:val="20"/>
        </w:rPr>
        <w:t xml:space="preserve"> VND 14,541 Million</w:t>
      </w:r>
    </w:p>
    <w:p w14:paraId="031A73D9" w14:textId="77777777" w:rsidR="00A85A5B" w:rsidRPr="001D4CB7" w:rsidRDefault="0093140E" w:rsidP="00E40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61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Bonus and welfare fund: VND 90,032 Million</w:t>
      </w:r>
    </w:p>
    <w:p w14:paraId="28DAEBFA" w14:textId="5A4FE47B" w:rsidR="00A85A5B" w:rsidRPr="001D4CB7" w:rsidRDefault="0093140E" w:rsidP="00E40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146"/>
          <w:tab w:val="left" w:pos="6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Bonus fund for the Executive Board of Company: VND 366.918 Million</w:t>
      </w:r>
    </w:p>
    <w:p w14:paraId="719BACBD" w14:textId="40D864BA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‎‎Article 6. Approve the Report on the results of remuneration and allowances payment to </w:t>
      </w:r>
      <w:r w:rsidR="002A4371" w:rsidRPr="001D4CB7">
        <w:rPr>
          <w:rFonts w:ascii="Arial" w:hAnsi="Arial" w:cs="Arial"/>
          <w:color w:val="010000"/>
          <w:sz w:val="20"/>
        </w:rPr>
        <w:t xml:space="preserve">non-executive </w:t>
      </w:r>
      <w:r w:rsidRPr="001D4CB7">
        <w:rPr>
          <w:rFonts w:ascii="Arial" w:hAnsi="Arial" w:cs="Arial"/>
          <w:color w:val="010000"/>
          <w:sz w:val="20"/>
        </w:rPr>
        <w:t>members of</w:t>
      </w:r>
      <w:r w:rsidR="00E409B3">
        <w:rPr>
          <w:rFonts w:ascii="Arial" w:hAnsi="Arial" w:cs="Arial"/>
          <w:color w:val="010000"/>
          <w:sz w:val="20"/>
        </w:rPr>
        <w:t xml:space="preserve"> the Board of Directors and </w:t>
      </w:r>
      <w:r w:rsidRPr="001D4CB7">
        <w:rPr>
          <w:rFonts w:ascii="Arial" w:hAnsi="Arial" w:cs="Arial"/>
          <w:color w:val="010000"/>
          <w:sz w:val="20"/>
        </w:rPr>
        <w:t>Supervisory Board in 2023 and the remuneration payment plan for members o</w:t>
      </w:r>
      <w:r w:rsidR="00E409B3">
        <w:rPr>
          <w:rFonts w:ascii="Arial" w:hAnsi="Arial" w:cs="Arial"/>
          <w:color w:val="010000"/>
          <w:sz w:val="20"/>
        </w:rPr>
        <w:t>f the Board of Directors and</w:t>
      </w:r>
      <w:r w:rsidRPr="001D4CB7">
        <w:rPr>
          <w:rFonts w:ascii="Arial" w:hAnsi="Arial" w:cs="Arial"/>
          <w:color w:val="010000"/>
          <w:sz w:val="20"/>
        </w:rPr>
        <w:t xml:space="preserve"> Supervisory Board in 2024.</w:t>
      </w:r>
    </w:p>
    <w:p w14:paraId="7C3EB41C" w14:textId="06C2EFA8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agreed to approve the Report on remuneration, allowances, and salaries of members of the Board of Directors</w:t>
      </w:r>
      <w:r w:rsidR="002A4371" w:rsidRPr="001D4CB7">
        <w:rPr>
          <w:rFonts w:ascii="Arial" w:hAnsi="Arial" w:cs="Arial"/>
          <w:color w:val="010000"/>
          <w:sz w:val="20"/>
        </w:rPr>
        <w:t xml:space="preserve">, </w:t>
      </w:r>
      <w:r w:rsidRPr="001D4CB7">
        <w:rPr>
          <w:rFonts w:ascii="Arial" w:hAnsi="Arial" w:cs="Arial"/>
          <w:color w:val="010000"/>
          <w:sz w:val="20"/>
        </w:rPr>
        <w:t>Su</w:t>
      </w:r>
      <w:r w:rsidR="00E409B3">
        <w:rPr>
          <w:rFonts w:ascii="Arial" w:hAnsi="Arial" w:cs="Arial"/>
          <w:color w:val="010000"/>
          <w:sz w:val="20"/>
        </w:rPr>
        <w:t>pervisory Board and the management</w:t>
      </w:r>
      <w:r w:rsidRPr="001D4CB7">
        <w:rPr>
          <w:rFonts w:ascii="Arial" w:hAnsi="Arial" w:cs="Arial"/>
          <w:color w:val="010000"/>
          <w:sz w:val="20"/>
        </w:rPr>
        <w:t xml:space="preserve"> in 2023 and the plan for 2024 as follows:</w:t>
      </w:r>
    </w:p>
    <w:p w14:paraId="0C909448" w14:textId="7B287650" w:rsidR="00A85A5B" w:rsidRPr="001D4CB7" w:rsidRDefault="0093140E" w:rsidP="00E409B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Approve the Report on remuneration, allowances, and salaries of members of</w:t>
      </w:r>
      <w:r w:rsidR="00E409B3">
        <w:rPr>
          <w:rFonts w:ascii="Arial" w:hAnsi="Arial" w:cs="Arial"/>
          <w:color w:val="010000"/>
          <w:sz w:val="20"/>
        </w:rPr>
        <w:t xml:space="preserve"> the Board of Directors and </w:t>
      </w:r>
      <w:r w:rsidRPr="001D4CB7">
        <w:rPr>
          <w:rFonts w:ascii="Arial" w:hAnsi="Arial" w:cs="Arial"/>
          <w:color w:val="010000"/>
          <w:sz w:val="20"/>
        </w:rPr>
        <w:t>Supervisory Board and the managers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5"/>
        <w:gridCol w:w="2464"/>
        <w:gridCol w:w="1131"/>
        <w:gridCol w:w="1277"/>
        <w:gridCol w:w="1901"/>
        <w:gridCol w:w="1399"/>
      </w:tblGrid>
      <w:tr w:rsidR="00A85A5B" w:rsidRPr="001D4CB7" w14:paraId="58DE49CA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5363F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EC92E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 xml:space="preserve">Positions 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8CFB1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Number (person)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4750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Remuneration (thousand VND/ year)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A11BD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Allowance (thousand VND/ year)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7601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Salary (thousand VND/ year)</w:t>
            </w:r>
          </w:p>
        </w:tc>
      </w:tr>
      <w:tr w:rsidR="00A85A5B" w:rsidRPr="001D4CB7" w14:paraId="21B6483F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1B8C0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98CF2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0E8AC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AD04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64,800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4D357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C81A5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7505B2EB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E604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0FB0F" w14:textId="09119729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Member</w:t>
            </w:r>
            <w:r w:rsidR="002A4371" w:rsidRPr="001D4CB7">
              <w:rPr>
                <w:rFonts w:ascii="Arial" w:hAnsi="Arial" w:cs="Arial"/>
                <w:color w:val="010000"/>
                <w:sz w:val="20"/>
              </w:rPr>
              <w:t>s</w:t>
            </w:r>
            <w:r w:rsidRPr="001D4CB7">
              <w:rPr>
                <w:rFonts w:ascii="Arial" w:hAnsi="Arial" w:cs="Arial"/>
                <w:color w:val="010000"/>
                <w:sz w:val="20"/>
              </w:rPr>
              <w:t xml:space="preserve"> of the Board of Directors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C31CF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FB75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147,200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9F0C7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6F08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150,450</w:t>
            </w:r>
          </w:p>
        </w:tc>
      </w:tr>
      <w:tr w:rsidR="00A85A5B" w:rsidRPr="001D4CB7" w14:paraId="71DB18EB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DDFB2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BB97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Independent members of the Board of Directors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698D7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25A0E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59EC9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184,000 (08 months)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93461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701E4686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7EB99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6531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E01E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BDA61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57E99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698BC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548,760</w:t>
            </w:r>
          </w:p>
        </w:tc>
      </w:tr>
      <w:tr w:rsidR="00A85A5B" w:rsidRPr="001D4CB7" w14:paraId="6A9F4AC5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487E7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E8141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Members of the Supervisory Board: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1A0B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02B8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110,400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2D527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7FD5B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74EBD47A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4690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EA00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Manager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E7FC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85DC4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200B1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173FF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594,480</w:t>
            </w:r>
          </w:p>
        </w:tc>
      </w:tr>
      <w:tr w:rsidR="00A85A5B" w:rsidRPr="001D4CB7" w14:paraId="56210160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33A2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B4230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6F89D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C7C52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A3518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3DBB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2,629,200</w:t>
            </w:r>
          </w:p>
        </w:tc>
      </w:tr>
      <w:tr w:rsidR="00A85A5B" w:rsidRPr="001D4CB7" w14:paraId="3F7729EB" w14:textId="77777777" w:rsidTr="007C30B8">
        <w:tc>
          <w:tcPr>
            <w:tcW w:w="4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EB06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2CBF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7AD6D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5219C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756E8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DD81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480,120</w:t>
            </w:r>
          </w:p>
        </w:tc>
      </w:tr>
      <w:tr w:rsidR="00A85A5B" w:rsidRPr="001D4CB7" w14:paraId="0774CB67" w14:textId="77777777" w:rsidTr="007C30B8">
        <w:tc>
          <w:tcPr>
            <w:tcW w:w="183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FEE1E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ED543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80F1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322,400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764C3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184,000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145EF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4,403,010</w:t>
            </w:r>
          </w:p>
        </w:tc>
      </w:tr>
    </w:tbl>
    <w:p w14:paraId="26ABDF46" w14:textId="40EBB730" w:rsidR="00A85A5B" w:rsidRPr="001D4CB7" w:rsidRDefault="0093140E" w:rsidP="007C30B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Approve the remuneration, allowance, and salary payment and other benefits of members of the Board </w:t>
      </w:r>
      <w:r w:rsidR="00E409B3">
        <w:rPr>
          <w:rFonts w:ascii="Arial" w:hAnsi="Arial" w:cs="Arial"/>
          <w:color w:val="010000"/>
          <w:sz w:val="20"/>
        </w:rPr>
        <w:t xml:space="preserve">of Directors and </w:t>
      </w:r>
      <w:r w:rsidRPr="001D4CB7">
        <w:rPr>
          <w:rFonts w:ascii="Arial" w:hAnsi="Arial" w:cs="Arial"/>
          <w:color w:val="010000"/>
          <w:sz w:val="20"/>
        </w:rPr>
        <w:t>Supervisory Board in 2024: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3"/>
        <w:gridCol w:w="2635"/>
        <w:gridCol w:w="1201"/>
        <w:gridCol w:w="1526"/>
        <w:gridCol w:w="1426"/>
        <w:gridCol w:w="1466"/>
      </w:tblGrid>
      <w:tr w:rsidR="00A85A5B" w:rsidRPr="001D4CB7" w14:paraId="6D1ABBE1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1446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98081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Positions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395F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Number (person)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D6BBE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Remuneration (thousand VND/ year)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B1C49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Allowance (thousand VND/ year)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8E23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Salary (thousand VND/ year)</w:t>
            </w:r>
          </w:p>
        </w:tc>
      </w:tr>
      <w:tr w:rsidR="00A85A5B" w:rsidRPr="001D4CB7" w14:paraId="3A29DCAB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6A285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5A4D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2258C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74A5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64,800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BEDAE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A12A3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3E623882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363B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523EB" w14:textId="0A5942CC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Member</w:t>
            </w:r>
            <w:r w:rsidR="00E20BC7" w:rsidRPr="001D4CB7">
              <w:rPr>
                <w:rFonts w:ascii="Arial" w:hAnsi="Arial" w:cs="Arial"/>
                <w:color w:val="010000"/>
                <w:sz w:val="20"/>
              </w:rPr>
              <w:t>s</w:t>
            </w:r>
            <w:r w:rsidRPr="001D4CB7">
              <w:rPr>
                <w:rFonts w:ascii="Arial" w:hAnsi="Arial" w:cs="Arial"/>
                <w:color w:val="010000"/>
                <w:sz w:val="20"/>
              </w:rPr>
              <w:t xml:space="preserve"> of the Board of Directors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FD04E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70352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165,600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74976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A2AA2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727D9937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E9AC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4D66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Independent members of the Board of Directors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20EE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27375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42A8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276,000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0E492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6D478C40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BCD90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9ED72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709F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69450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48865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16189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489,600</w:t>
            </w:r>
          </w:p>
        </w:tc>
      </w:tr>
      <w:tr w:rsidR="00A85A5B" w:rsidRPr="001D4CB7" w14:paraId="2DC8FBD2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C5807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9EA38" w14:textId="3667F0DD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B52E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8BC6B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110,400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10D71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D8735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5A5B" w:rsidRPr="001D4CB7" w14:paraId="136EE064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17764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DF179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Manager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58700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8CEE3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5A3AB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4C2B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530,400</w:t>
            </w:r>
          </w:p>
        </w:tc>
      </w:tr>
      <w:tr w:rsidR="00A85A5B" w:rsidRPr="001D4CB7" w14:paraId="68945D38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3241D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D2076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323FD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86194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414E0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1B25D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2,346,000</w:t>
            </w:r>
          </w:p>
        </w:tc>
      </w:tr>
      <w:tr w:rsidR="00A85A5B" w:rsidRPr="001D4CB7" w14:paraId="027D1187" w14:textId="77777777" w:rsidTr="007C30B8"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91978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2C831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6D119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088FE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45B1A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7E4B0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428,400</w:t>
            </w:r>
          </w:p>
        </w:tc>
      </w:tr>
      <w:tr w:rsidR="00A85A5B" w:rsidRPr="001D4CB7" w14:paraId="402FC6A7" w14:textId="77777777" w:rsidTr="007C30B8">
        <w:tc>
          <w:tcPr>
            <w:tcW w:w="188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61680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9F7A8" w14:textId="77777777" w:rsidR="00A85A5B" w:rsidRPr="001D4CB7" w:rsidRDefault="00A85A5B" w:rsidP="007C30B8">
            <w:pP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EB9A0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340,800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427EA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276,000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BE7FE" w14:textId="77777777" w:rsidR="00A85A5B" w:rsidRPr="001D4CB7" w:rsidRDefault="0093140E" w:rsidP="007C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4CB7">
              <w:rPr>
                <w:rFonts w:ascii="Arial" w:hAnsi="Arial" w:cs="Arial"/>
                <w:color w:val="010000"/>
                <w:sz w:val="20"/>
              </w:rPr>
              <w:t>3,794,400</w:t>
            </w:r>
          </w:p>
        </w:tc>
      </w:tr>
    </w:tbl>
    <w:p w14:paraId="03E4C42C" w14:textId="77777777" w:rsidR="00A85A5B" w:rsidRPr="001D4CB7" w:rsidRDefault="0093140E" w:rsidP="00E409B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Payment method:</w:t>
      </w:r>
    </w:p>
    <w:p w14:paraId="7A4674BE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Each month, members of the Board of Directors will be prepaid 80% of that month’s salary and </w:t>
      </w:r>
      <w:r w:rsidRPr="001D4CB7">
        <w:rPr>
          <w:rFonts w:ascii="Arial" w:hAnsi="Arial" w:cs="Arial"/>
          <w:color w:val="010000"/>
          <w:sz w:val="20"/>
        </w:rPr>
        <w:lastRenderedPageBreak/>
        <w:t xml:space="preserve">remuneration; the remaining will be settled by the end of the year based on the Company’s production and business results. </w:t>
      </w:r>
    </w:p>
    <w:p w14:paraId="7BF99608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‎‎Article 7. Approve the recommended dividend payment rate for 2024:</w:t>
      </w:r>
    </w:p>
    <w:p w14:paraId="30FD983C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The General Meeting agreed to approve the recommended dividend payment in 2024 as follows:</w:t>
      </w:r>
    </w:p>
    <w:p w14:paraId="0BC5FBDC" w14:textId="2B9A3BA3" w:rsidR="00A85A5B" w:rsidRPr="001D4CB7" w:rsidRDefault="0093140E" w:rsidP="00E40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0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Expected </w:t>
      </w:r>
      <w:r w:rsidR="00E20BC7" w:rsidRPr="001D4CB7">
        <w:rPr>
          <w:rFonts w:ascii="Arial" w:hAnsi="Arial" w:cs="Arial"/>
          <w:color w:val="010000"/>
          <w:sz w:val="20"/>
        </w:rPr>
        <w:t>dividend</w:t>
      </w:r>
      <w:r w:rsidRPr="001D4CB7">
        <w:rPr>
          <w:rFonts w:ascii="Arial" w:hAnsi="Arial" w:cs="Arial"/>
          <w:color w:val="010000"/>
          <w:sz w:val="20"/>
        </w:rPr>
        <w:t xml:space="preserve"> payment rate 2024: ≥ 8%</w:t>
      </w:r>
    </w:p>
    <w:p w14:paraId="455BD407" w14:textId="21E8A900" w:rsidR="00A85A5B" w:rsidRPr="001D4CB7" w:rsidRDefault="0093140E" w:rsidP="00E40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actual dividend payment in 2024 will be voted at the Annual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2025 on the basis of production and business results in 2024.</w:t>
      </w:r>
    </w:p>
    <w:p w14:paraId="6EE1F7B7" w14:textId="5CFFD4CD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‎‎Article 8. Approve the contracts and transactions between the Company and </w:t>
      </w:r>
      <w:r w:rsidR="00E20BC7" w:rsidRPr="001D4CB7">
        <w:rPr>
          <w:rFonts w:ascii="Arial" w:hAnsi="Arial" w:cs="Arial"/>
          <w:color w:val="010000"/>
          <w:sz w:val="20"/>
        </w:rPr>
        <w:t xml:space="preserve">affiliated </w:t>
      </w:r>
      <w:r w:rsidRPr="001D4CB7">
        <w:rPr>
          <w:rFonts w:ascii="Arial" w:hAnsi="Arial" w:cs="Arial"/>
          <w:color w:val="010000"/>
          <w:sz w:val="20"/>
        </w:rPr>
        <w:t xml:space="preserve">enterprises and </w:t>
      </w:r>
      <w:r w:rsidR="00E20BC7" w:rsidRPr="001D4CB7">
        <w:rPr>
          <w:rFonts w:ascii="Arial" w:hAnsi="Arial" w:cs="Arial"/>
          <w:color w:val="010000"/>
          <w:sz w:val="20"/>
        </w:rPr>
        <w:t>persons</w:t>
      </w:r>
      <w:r w:rsidRPr="001D4CB7">
        <w:rPr>
          <w:rFonts w:ascii="Arial" w:hAnsi="Arial" w:cs="Arial"/>
          <w:color w:val="010000"/>
          <w:sz w:val="20"/>
        </w:rPr>
        <w:t xml:space="preserve"> in 2024.</w:t>
      </w:r>
    </w:p>
    <w:p w14:paraId="6DE92C40" w14:textId="4EA59C23" w:rsidR="00A85A5B" w:rsidRPr="001D4CB7" w:rsidRDefault="0093140E" w:rsidP="00E40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agreed to approve the </w:t>
      </w:r>
      <w:r w:rsidR="00E20BC7" w:rsidRPr="001D4CB7">
        <w:rPr>
          <w:rFonts w:ascii="Arial" w:hAnsi="Arial" w:cs="Arial"/>
          <w:color w:val="010000"/>
          <w:sz w:val="20"/>
        </w:rPr>
        <w:t>contracts and transactions</w:t>
      </w:r>
      <w:r w:rsidRPr="001D4CB7">
        <w:rPr>
          <w:rFonts w:ascii="Arial" w:hAnsi="Arial" w:cs="Arial"/>
          <w:color w:val="010000"/>
          <w:sz w:val="20"/>
        </w:rPr>
        <w:t xml:space="preserve"> </w:t>
      </w:r>
      <w:r w:rsidR="00E20BC7" w:rsidRPr="001D4CB7">
        <w:rPr>
          <w:rFonts w:ascii="Arial" w:hAnsi="Arial" w:cs="Arial"/>
          <w:color w:val="010000"/>
          <w:sz w:val="20"/>
        </w:rPr>
        <w:t xml:space="preserve">in 2024 with affiliated persons </w:t>
      </w:r>
      <w:r w:rsidRPr="001D4CB7">
        <w:rPr>
          <w:rFonts w:ascii="Arial" w:hAnsi="Arial" w:cs="Arial"/>
          <w:color w:val="010000"/>
          <w:sz w:val="20"/>
        </w:rPr>
        <w:t>under its authority.</w:t>
      </w:r>
    </w:p>
    <w:p w14:paraId="25538E5C" w14:textId="0786D820" w:rsidR="00A85A5B" w:rsidRPr="001D4CB7" w:rsidRDefault="0093140E" w:rsidP="00E409B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assigns the Board of Directors to sign contracts and carry out </w:t>
      </w:r>
      <w:r w:rsidR="00E20BC7" w:rsidRPr="001D4CB7">
        <w:rPr>
          <w:rFonts w:ascii="Arial" w:hAnsi="Arial" w:cs="Arial"/>
          <w:color w:val="010000"/>
          <w:sz w:val="20"/>
        </w:rPr>
        <w:t>them</w:t>
      </w:r>
      <w:r w:rsidRPr="001D4CB7">
        <w:rPr>
          <w:rFonts w:ascii="Arial" w:hAnsi="Arial" w:cs="Arial"/>
          <w:color w:val="010000"/>
          <w:sz w:val="20"/>
        </w:rPr>
        <w:t xml:space="preserve"> between the Company and </w:t>
      </w:r>
      <w:r w:rsidR="00E20BC7" w:rsidRPr="001D4CB7">
        <w:rPr>
          <w:rFonts w:ascii="Arial" w:hAnsi="Arial" w:cs="Arial"/>
          <w:color w:val="010000"/>
          <w:sz w:val="20"/>
        </w:rPr>
        <w:t xml:space="preserve">affiliated </w:t>
      </w:r>
      <w:r w:rsidRPr="001D4CB7">
        <w:rPr>
          <w:rFonts w:ascii="Arial" w:hAnsi="Arial" w:cs="Arial"/>
          <w:color w:val="010000"/>
          <w:sz w:val="20"/>
        </w:rPr>
        <w:t xml:space="preserve">enterprises and </w:t>
      </w:r>
      <w:r w:rsidR="00E20BC7" w:rsidRPr="001D4CB7">
        <w:rPr>
          <w:rFonts w:ascii="Arial" w:hAnsi="Arial" w:cs="Arial"/>
          <w:color w:val="010000"/>
          <w:sz w:val="20"/>
        </w:rPr>
        <w:t>persons</w:t>
      </w:r>
      <w:r w:rsidRPr="001D4CB7">
        <w:rPr>
          <w:rFonts w:ascii="Arial" w:hAnsi="Arial" w:cs="Arial"/>
          <w:color w:val="010000"/>
          <w:sz w:val="20"/>
        </w:rPr>
        <w:t xml:space="preserve"> as mentioned in accordance with the provisions of law. The deadline for signing contracts and transactions is from January 1, 2024 until there are other changes.</w:t>
      </w:r>
    </w:p>
    <w:p w14:paraId="118923AF" w14:textId="3D449C22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‎‎Article 9. Approve the investment policy of underground mining project below </w:t>
      </w:r>
      <w:r w:rsidR="00E20BC7" w:rsidRPr="001D4CB7">
        <w:rPr>
          <w:rFonts w:ascii="Arial" w:hAnsi="Arial" w:cs="Arial"/>
          <w:color w:val="010000"/>
          <w:sz w:val="20"/>
        </w:rPr>
        <w:t xml:space="preserve">the </w:t>
      </w:r>
      <w:r w:rsidRPr="001D4CB7">
        <w:rPr>
          <w:rFonts w:ascii="Arial" w:hAnsi="Arial" w:cs="Arial"/>
          <w:color w:val="010000"/>
          <w:sz w:val="20"/>
        </w:rPr>
        <w:t>level</w:t>
      </w:r>
      <w:r w:rsidR="00E20BC7" w:rsidRPr="001D4CB7">
        <w:rPr>
          <w:rFonts w:ascii="Arial" w:hAnsi="Arial" w:cs="Arial"/>
          <w:color w:val="010000"/>
          <w:sz w:val="20"/>
        </w:rPr>
        <w:t xml:space="preserve"> of</w:t>
      </w:r>
      <w:r w:rsidRPr="001D4CB7">
        <w:rPr>
          <w:rFonts w:ascii="Arial" w:hAnsi="Arial" w:cs="Arial"/>
          <w:color w:val="010000"/>
          <w:sz w:val="20"/>
        </w:rPr>
        <w:t xml:space="preserve"> - 175,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Mine of </w:t>
      </w:r>
      <w:proofErr w:type="spellStart"/>
      <w:r w:rsidRPr="001D4CB7">
        <w:rPr>
          <w:rFonts w:ascii="Arial" w:hAnsi="Arial" w:cs="Arial"/>
          <w:color w:val="010000"/>
          <w:sz w:val="20"/>
        </w:rPr>
        <w:t>Vinacomin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Joint Stock Company.</w:t>
      </w:r>
    </w:p>
    <w:p w14:paraId="552AB642" w14:textId="27AEB158" w:rsidR="00A85A5B" w:rsidRPr="001D4CB7" w:rsidRDefault="0093140E" w:rsidP="00E409B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agreed to approve the investment policy of underground mining project below -175,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Mine of </w:t>
      </w:r>
      <w:proofErr w:type="spellStart"/>
      <w:r w:rsidRPr="001D4CB7">
        <w:rPr>
          <w:rFonts w:ascii="Arial" w:hAnsi="Arial" w:cs="Arial"/>
          <w:color w:val="010000"/>
          <w:sz w:val="20"/>
        </w:rPr>
        <w:t>Vinacomin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Joint Stock Company</w:t>
      </w:r>
      <w:r w:rsidR="001D4CB7" w:rsidRPr="001D4CB7">
        <w:rPr>
          <w:rFonts w:ascii="Arial" w:hAnsi="Arial" w:cs="Arial"/>
          <w:color w:val="010000"/>
          <w:sz w:val="20"/>
        </w:rPr>
        <w:t>.</w:t>
      </w:r>
    </w:p>
    <w:p w14:paraId="629ED8F7" w14:textId="480608B9" w:rsidR="00A85A5B" w:rsidRPr="001D4CB7" w:rsidRDefault="0093140E" w:rsidP="00E409B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assigns the Bo</w:t>
      </w:r>
      <w:r w:rsidR="00E409B3">
        <w:rPr>
          <w:rFonts w:ascii="Arial" w:hAnsi="Arial" w:cs="Arial"/>
          <w:color w:val="010000"/>
          <w:sz w:val="20"/>
        </w:rPr>
        <w:t>ard of Directors and the m</w:t>
      </w:r>
      <w:bookmarkStart w:id="1" w:name="_GoBack"/>
      <w:bookmarkEnd w:id="1"/>
      <w:r w:rsidR="00E409B3">
        <w:rPr>
          <w:rFonts w:ascii="Arial" w:hAnsi="Arial" w:cs="Arial"/>
          <w:color w:val="010000"/>
          <w:sz w:val="20"/>
        </w:rPr>
        <w:t>anagement</w:t>
      </w:r>
      <w:r w:rsidRPr="001D4CB7">
        <w:rPr>
          <w:rFonts w:ascii="Arial" w:hAnsi="Arial" w:cs="Arial"/>
          <w:color w:val="010000"/>
          <w:sz w:val="20"/>
        </w:rPr>
        <w:t xml:space="preserve"> of the Company to use resources according to the project to prepare for project implementation.</w:t>
      </w:r>
    </w:p>
    <w:p w14:paraId="02F67784" w14:textId="730CA74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‎‎Article 10. Approve the Report on supervision of management and operations activities in 2023 and the </w:t>
      </w:r>
      <w:r w:rsidR="001D4CB7" w:rsidRPr="001D4CB7">
        <w:rPr>
          <w:rFonts w:ascii="Arial" w:hAnsi="Arial" w:cs="Arial"/>
          <w:color w:val="010000"/>
          <w:sz w:val="20"/>
        </w:rPr>
        <w:t xml:space="preserve">Appraisal </w:t>
      </w:r>
      <w:r w:rsidRPr="001D4CB7">
        <w:rPr>
          <w:rFonts w:ascii="Arial" w:hAnsi="Arial" w:cs="Arial"/>
          <w:color w:val="010000"/>
          <w:sz w:val="20"/>
        </w:rPr>
        <w:t>of the Financial Statements 2023 of the Company's Supervisory Board.</w:t>
      </w:r>
    </w:p>
    <w:p w14:paraId="4453B920" w14:textId="79A82154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agreed to approve the Report on supervision of management and operations activities in 2023 and the </w:t>
      </w:r>
      <w:r w:rsidR="001D4CB7" w:rsidRPr="001D4CB7">
        <w:rPr>
          <w:rFonts w:ascii="Arial" w:hAnsi="Arial" w:cs="Arial"/>
          <w:color w:val="010000"/>
          <w:sz w:val="20"/>
        </w:rPr>
        <w:t xml:space="preserve">Appraisal </w:t>
      </w:r>
      <w:r w:rsidRPr="001D4CB7">
        <w:rPr>
          <w:rFonts w:ascii="Arial" w:hAnsi="Arial" w:cs="Arial"/>
          <w:color w:val="010000"/>
          <w:sz w:val="20"/>
        </w:rPr>
        <w:t xml:space="preserve">of the Financial Statements 2022 of the Company's Supervisory </w:t>
      </w:r>
      <w:r w:rsidR="001D4CB7" w:rsidRPr="001D4CB7">
        <w:rPr>
          <w:rFonts w:ascii="Arial" w:hAnsi="Arial" w:cs="Arial"/>
          <w:color w:val="010000"/>
          <w:sz w:val="20"/>
        </w:rPr>
        <w:t xml:space="preserve">Board. </w:t>
      </w:r>
    </w:p>
    <w:p w14:paraId="5AF1E6FA" w14:textId="702B560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‎‎Article 11. Approve the selection of the list of audit companies </w:t>
      </w:r>
      <w:r w:rsidR="001D4CB7" w:rsidRPr="001D4CB7">
        <w:rPr>
          <w:rFonts w:ascii="Arial" w:hAnsi="Arial" w:cs="Arial"/>
          <w:color w:val="010000"/>
          <w:sz w:val="20"/>
        </w:rPr>
        <w:t xml:space="preserve">for </w:t>
      </w:r>
      <w:r w:rsidRPr="001D4CB7">
        <w:rPr>
          <w:rFonts w:ascii="Arial" w:hAnsi="Arial" w:cs="Arial"/>
          <w:color w:val="010000"/>
          <w:sz w:val="20"/>
        </w:rPr>
        <w:t xml:space="preserve">the Financial </w:t>
      </w:r>
      <w:r w:rsidR="001D4CB7" w:rsidRPr="001D4CB7">
        <w:rPr>
          <w:rFonts w:ascii="Arial" w:hAnsi="Arial" w:cs="Arial"/>
          <w:color w:val="010000"/>
          <w:sz w:val="20"/>
        </w:rPr>
        <w:t>S</w:t>
      </w:r>
      <w:r w:rsidRPr="001D4CB7">
        <w:rPr>
          <w:rFonts w:ascii="Arial" w:hAnsi="Arial" w:cs="Arial"/>
          <w:color w:val="010000"/>
          <w:sz w:val="20"/>
        </w:rPr>
        <w:t>tatement</w:t>
      </w:r>
      <w:r w:rsidR="001D4CB7" w:rsidRPr="001D4CB7">
        <w:rPr>
          <w:rFonts w:ascii="Arial" w:hAnsi="Arial" w:cs="Arial"/>
          <w:color w:val="010000"/>
          <w:sz w:val="20"/>
        </w:rPr>
        <w:t>s</w:t>
      </w:r>
      <w:r w:rsidRPr="001D4CB7">
        <w:rPr>
          <w:rFonts w:ascii="Arial" w:hAnsi="Arial" w:cs="Arial"/>
          <w:color w:val="010000"/>
          <w:sz w:val="20"/>
        </w:rPr>
        <w:t xml:space="preserve"> 2024;</w:t>
      </w:r>
    </w:p>
    <w:p w14:paraId="0D36FA50" w14:textId="00E39087" w:rsidR="00A85A5B" w:rsidRPr="001D4CB7" w:rsidRDefault="0093140E" w:rsidP="00E40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agreed to approve the selection of the list of audit companies </w:t>
      </w:r>
      <w:r w:rsidR="001D4CB7" w:rsidRPr="001D4CB7">
        <w:rPr>
          <w:rFonts w:ascii="Arial" w:hAnsi="Arial" w:cs="Arial"/>
          <w:color w:val="010000"/>
          <w:sz w:val="20"/>
        </w:rPr>
        <w:t>for</w:t>
      </w:r>
      <w:r w:rsidRPr="001D4CB7">
        <w:rPr>
          <w:rFonts w:ascii="Arial" w:hAnsi="Arial" w:cs="Arial"/>
          <w:color w:val="010000"/>
          <w:sz w:val="20"/>
        </w:rPr>
        <w:t xml:space="preserve"> the Financial </w:t>
      </w:r>
      <w:r w:rsidR="001D4CB7" w:rsidRPr="001D4CB7">
        <w:rPr>
          <w:rFonts w:ascii="Arial" w:hAnsi="Arial" w:cs="Arial"/>
          <w:color w:val="010000"/>
          <w:sz w:val="20"/>
        </w:rPr>
        <w:t>S</w:t>
      </w:r>
      <w:r w:rsidRPr="001D4CB7">
        <w:rPr>
          <w:rFonts w:ascii="Arial" w:hAnsi="Arial" w:cs="Arial"/>
          <w:color w:val="010000"/>
          <w:sz w:val="20"/>
        </w:rPr>
        <w:t>tatement</w:t>
      </w:r>
      <w:r w:rsidR="001D4CB7" w:rsidRPr="001D4CB7">
        <w:rPr>
          <w:rFonts w:ascii="Arial" w:hAnsi="Arial" w:cs="Arial"/>
          <w:color w:val="010000"/>
          <w:sz w:val="20"/>
        </w:rPr>
        <w:t>s</w:t>
      </w:r>
      <w:r w:rsidRPr="001D4CB7">
        <w:rPr>
          <w:rFonts w:ascii="Arial" w:hAnsi="Arial" w:cs="Arial"/>
          <w:color w:val="010000"/>
          <w:sz w:val="20"/>
        </w:rPr>
        <w:t xml:space="preserve"> 2024;</w:t>
      </w:r>
    </w:p>
    <w:p w14:paraId="112D7B59" w14:textId="2150DE2C" w:rsidR="00A85A5B" w:rsidRPr="001D4CB7" w:rsidRDefault="0093140E" w:rsidP="00E40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1D4CB7">
        <w:rPr>
          <w:rFonts w:ascii="Arial" w:hAnsi="Arial" w:cs="Arial"/>
          <w:color w:val="010000"/>
          <w:sz w:val="20"/>
        </w:rPr>
        <w:t>An</w:t>
      </w:r>
      <w:proofErr w:type="gramEnd"/>
      <w:r w:rsidRPr="001D4CB7">
        <w:rPr>
          <w:rFonts w:ascii="Arial" w:hAnsi="Arial" w:cs="Arial"/>
          <w:color w:val="010000"/>
          <w:sz w:val="20"/>
        </w:rPr>
        <w:t xml:space="preserve"> Viet Auditing Company Limited</w:t>
      </w:r>
      <w:r w:rsidR="001D4CB7" w:rsidRPr="001D4CB7">
        <w:rPr>
          <w:rFonts w:ascii="Arial" w:hAnsi="Arial" w:cs="Arial"/>
          <w:color w:val="010000"/>
          <w:sz w:val="20"/>
        </w:rPr>
        <w:t>:</w:t>
      </w:r>
      <w:r w:rsidRPr="001D4CB7">
        <w:rPr>
          <w:rFonts w:ascii="Arial" w:hAnsi="Arial" w:cs="Arial"/>
          <w:color w:val="010000"/>
          <w:sz w:val="20"/>
        </w:rPr>
        <w:t xml:space="preserve"> Address: 12th floor, 167 Bui Thi Xuan Building, Hai Ba </w:t>
      </w:r>
      <w:proofErr w:type="spellStart"/>
      <w:r w:rsidRPr="001D4CB7">
        <w:rPr>
          <w:rFonts w:ascii="Arial" w:hAnsi="Arial" w:cs="Arial"/>
          <w:color w:val="010000"/>
          <w:sz w:val="20"/>
        </w:rPr>
        <w:t>Trung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District, Hanoi. </w:t>
      </w:r>
    </w:p>
    <w:p w14:paraId="18E1C639" w14:textId="77777777" w:rsidR="00A85A5B" w:rsidRPr="001D4CB7" w:rsidRDefault="0093140E" w:rsidP="00E40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AASC Auditing Firm Company Limited; Address: No. 1, Le </w:t>
      </w:r>
      <w:proofErr w:type="spellStart"/>
      <w:r w:rsidRPr="001D4CB7">
        <w:rPr>
          <w:rFonts w:ascii="Arial" w:hAnsi="Arial" w:cs="Arial"/>
          <w:color w:val="010000"/>
          <w:sz w:val="20"/>
        </w:rPr>
        <w:t>Phung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Hieu Street, Trang Tien Ward, </w:t>
      </w:r>
      <w:proofErr w:type="spellStart"/>
      <w:r w:rsidRPr="001D4CB7">
        <w:rPr>
          <w:rFonts w:ascii="Arial" w:hAnsi="Arial" w:cs="Arial"/>
          <w:color w:val="010000"/>
          <w:sz w:val="20"/>
        </w:rPr>
        <w:t>Hoan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Kiem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District, Hanoi.</w:t>
      </w:r>
    </w:p>
    <w:p w14:paraId="287E37B9" w14:textId="77777777" w:rsidR="00A85A5B" w:rsidRPr="001D4CB7" w:rsidRDefault="0093140E" w:rsidP="00E40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1D4CB7">
        <w:rPr>
          <w:rFonts w:ascii="Arial" w:hAnsi="Arial" w:cs="Arial"/>
          <w:color w:val="010000"/>
          <w:sz w:val="20"/>
        </w:rPr>
        <w:t>Nhan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Tam Viet Auditing Company Limited: Address: Platinum Residences Building, No. 06 Nguyen </w:t>
      </w:r>
      <w:r w:rsidRPr="001D4CB7">
        <w:rPr>
          <w:rFonts w:ascii="Arial" w:hAnsi="Arial" w:cs="Arial"/>
          <w:color w:val="010000"/>
          <w:sz w:val="20"/>
        </w:rPr>
        <w:lastRenderedPageBreak/>
        <w:t xml:space="preserve">Cong </w:t>
      </w:r>
      <w:proofErr w:type="spellStart"/>
      <w:r w:rsidRPr="001D4CB7">
        <w:rPr>
          <w:rFonts w:ascii="Arial" w:hAnsi="Arial" w:cs="Arial"/>
          <w:color w:val="010000"/>
          <w:sz w:val="20"/>
        </w:rPr>
        <w:t>Hoan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Street, Giang Vo, Ba Dinh, Hanoi. </w:t>
      </w:r>
    </w:p>
    <w:p w14:paraId="0D2C84D5" w14:textId="4D4EBF6A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Meeting assigns the Company to select 01 independent audit company (out of the 03 above companies) according to the provisions of law to audit </w:t>
      </w:r>
      <w:r w:rsidR="00E409B3">
        <w:rPr>
          <w:rFonts w:ascii="Arial" w:hAnsi="Arial" w:cs="Arial"/>
          <w:color w:val="010000"/>
          <w:sz w:val="20"/>
        </w:rPr>
        <w:t>the Financial Statements 2024 as per</w:t>
      </w:r>
      <w:r w:rsidRPr="001D4CB7">
        <w:rPr>
          <w:rFonts w:ascii="Arial" w:hAnsi="Arial" w:cs="Arial"/>
          <w:color w:val="010000"/>
          <w:sz w:val="20"/>
        </w:rPr>
        <w:t xml:space="preserve"> current regulations.</w:t>
      </w:r>
    </w:p>
    <w:p w14:paraId="7FF0A3EF" w14:textId="77777777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>‎‎Article 12. Terms of enforcement</w:t>
      </w:r>
    </w:p>
    <w:p w14:paraId="4DCE0FBE" w14:textId="7E2944EF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Annual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1D4CB7">
        <w:rPr>
          <w:rFonts w:ascii="Arial" w:hAnsi="Arial" w:cs="Arial"/>
          <w:color w:val="010000"/>
          <w:sz w:val="20"/>
        </w:rPr>
        <w:t>Vinacomin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Joint Stock Company was conducted fairly and legally. This General Mandate takes effect immediately after the approval of the Annual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1D4CB7">
        <w:rPr>
          <w:rFonts w:ascii="Arial" w:hAnsi="Arial" w:cs="Arial"/>
          <w:color w:val="010000"/>
          <w:sz w:val="20"/>
        </w:rPr>
        <w:t>Vinacomin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Joint Stock Company.</w:t>
      </w:r>
    </w:p>
    <w:p w14:paraId="753ED90B" w14:textId="39A811B3" w:rsidR="00A85A5B" w:rsidRPr="001D4CB7" w:rsidRDefault="0093140E" w:rsidP="00E409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CB7">
        <w:rPr>
          <w:rFonts w:ascii="Arial" w:hAnsi="Arial" w:cs="Arial"/>
          <w:color w:val="010000"/>
          <w:sz w:val="20"/>
        </w:rPr>
        <w:t xml:space="preserve">The Annual </w:t>
      </w:r>
      <w:r w:rsidR="00E409B3">
        <w:rPr>
          <w:rFonts w:ascii="Arial" w:hAnsi="Arial" w:cs="Arial"/>
          <w:color w:val="010000"/>
          <w:sz w:val="20"/>
        </w:rPr>
        <w:t>General Meeting</w:t>
      </w:r>
      <w:r w:rsidRPr="001D4CB7">
        <w:rPr>
          <w:rFonts w:ascii="Arial" w:hAnsi="Arial" w:cs="Arial"/>
          <w:color w:val="010000"/>
          <w:sz w:val="20"/>
        </w:rPr>
        <w:t xml:space="preserve"> 2024 authorizes the Board of Directors and the Executive Board of </w:t>
      </w:r>
      <w:proofErr w:type="spellStart"/>
      <w:r w:rsidRPr="001D4CB7">
        <w:rPr>
          <w:rFonts w:ascii="Arial" w:hAnsi="Arial" w:cs="Arial"/>
          <w:color w:val="010000"/>
          <w:sz w:val="20"/>
        </w:rPr>
        <w:t>Vinacomin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D4CB7">
        <w:rPr>
          <w:rFonts w:ascii="Arial" w:hAnsi="Arial" w:cs="Arial"/>
          <w:color w:val="010000"/>
          <w:sz w:val="20"/>
        </w:rPr>
        <w:t>Vang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D4CB7">
        <w:rPr>
          <w:rFonts w:ascii="Arial" w:hAnsi="Arial" w:cs="Arial"/>
          <w:color w:val="010000"/>
          <w:sz w:val="20"/>
        </w:rPr>
        <w:t>Danh</w:t>
      </w:r>
      <w:proofErr w:type="spellEnd"/>
      <w:r w:rsidRPr="001D4CB7">
        <w:rPr>
          <w:rFonts w:ascii="Arial" w:hAnsi="Arial" w:cs="Arial"/>
          <w:color w:val="010000"/>
          <w:sz w:val="20"/>
        </w:rPr>
        <w:t xml:space="preserve"> Coal Joint Stock Company to be responsible for carrying out the work approved in this General Mandate </w:t>
      </w:r>
      <w:r w:rsidR="00E409B3">
        <w:rPr>
          <w:rFonts w:ascii="Arial" w:hAnsi="Arial" w:cs="Arial"/>
          <w:color w:val="010000"/>
          <w:sz w:val="20"/>
        </w:rPr>
        <w:t>under applicable laws</w:t>
      </w:r>
      <w:r w:rsidRPr="001D4CB7">
        <w:rPr>
          <w:rFonts w:ascii="Arial" w:hAnsi="Arial" w:cs="Arial"/>
          <w:color w:val="010000"/>
          <w:sz w:val="20"/>
        </w:rPr>
        <w:t xml:space="preserve"> while ensuring the rights and interests of shareholders and enterprises.</w:t>
      </w:r>
    </w:p>
    <w:sectPr w:rsidR="00A85A5B" w:rsidRPr="001D4CB7" w:rsidSect="007C30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501"/>
    <w:multiLevelType w:val="hybridMultilevel"/>
    <w:tmpl w:val="9F76DA1E"/>
    <w:lvl w:ilvl="0" w:tplc="274E5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EEA25CA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42984EA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966"/>
    <w:multiLevelType w:val="multilevel"/>
    <w:tmpl w:val="76E6D2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5603A5"/>
    <w:multiLevelType w:val="hybridMultilevel"/>
    <w:tmpl w:val="0BFE4B82"/>
    <w:lvl w:ilvl="0" w:tplc="68CE13D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91E0A55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71A914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2163"/>
    <w:multiLevelType w:val="hybridMultilevel"/>
    <w:tmpl w:val="8B5CB908"/>
    <w:lvl w:ilvl="0" w:tplc="5AF01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77BE52B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384F78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5FD"/>
    <w:multiLevelType w:val="multilevel"/>
    <w:tmpl w:val="812844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1576FC8"/>
    <w:multiLevelType w:val="multilevel"/>
    <w:tmpl w:val="44A031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1D61BCC"/>
    <w:multiLevelType w:val="hybridMultilevel"/>
    <w:tmpl w:val="B1488F40"/>
    <w:lvl w:ilvl="0" w:tplc="6464D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B12E9F6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F7983F8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25A3A"/>
    <w:multiLevelType w:val="multilevel"/>
    <w:tmpl w:val="6F209C8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B"/>
    <w:rsid w:val="001D4CB7"/>
    <w:rsid w:val="002A4371"/>
    <w:rsid w:val="00437854"/>
    <w:rsid w:val="007C30B8"/>
    <w:rsid w:val="0093140E"/>
    <w:rsid w:val="00A85A5B"/>
    <w:rsid w:val="00AE27F0"/>
    <w:rsid w:val="00B10FD3"/>
    <w:rsid w:val="00E20BC7"/>
    <w:rsid w:val="00E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EF48D"/>
  <w15:docId w15:val="{2B84D468-6D34-4543-B657-652849E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67E7D"/>
      <w:w w:val="6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69" w:lineRule="auto"/>
    </w:pPr>
    <w:rPr>
      <w:rFonts w:ascii="Arial" w:eastAsia="Arial" w:hAnsi="Arial" w:cs="Arial"/>
      <w:b/>
      <w:bCs/>
      <w:color w:val="C67E7D"/>
      <w:w w:val="60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93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PCnfZVWjVhvs5eyScMNYzmEaw==">CgMxLjAyCGguZ2pkZ3hzOAByITFBQk9nYTZlRlFBR2Q4ZVVfUXM0QXlfMmRHYTRvXzdvTg==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2024-05-10T03:29:00Z</dcterms:created>
  <dcterms:modified xsi:type="dcterms:W3CDTF">2024-05-10T03:29:00Z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c569839458a08f30726011b7011ca4d5d8b74263e6eea1fd3aa514e92661ac92</vt:lpwstr>
  </property>
</Properties>
</file>