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7212D2" w14:textId="77777777" w:rsidR="00F06A42" w:rsidRPr="00D6304D" w:rsidRDefault="00D6304D" w:rsidP="00C81F0E">
      <w:pPr>
        <w:pBdr>
          <w:top w:val="nil"/>
          <w:left w:val="nil"/>
          <w:bottom w:val="nil"/>
          <w:right w:val="nil"/>
          <w:between w:val="nil"/>
        </w:pBdr>
        <w:tabs>
          <w:tab w:val="left" w:pos="4027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D6304D">
        <w:rPr>
          <w:rFonts w:ascii="Arial" w:hAnsi="Arial"/>
          <w:b/>
          <w:color w:val="010000"/>
          <w:sz w:val="20"/>
        </w:rPr>
        <w:t>PGS: Board Resolution</w:t>
      </w:r>
    </w:p>
    <w:p w14:paraId="0648E9D8" w14:textId="5CE2DFE2" w:rsidR="00F06A42" w:rsidRPr="00D6304D" w:rsidRDefault="00D6304D" w:rsidP="00C81F0E">
      <w:pPr>
        <w:pBdr>
          <w:top w:val="nil"/>
          <w:left w:val="nil"/>
          <w:bottom w:val="nil"/>
          <w:right w:val="nil"/>
          <w:between w:val="nil"/>
        </w:pBdr>
        <w:tabs>
          <w:tab w:val="left" w:pos="4027"/>
        </w:tabs>
        <w:spacing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D6304D">
        <w:rPr>
          <w:rFonts w:ascii="Arial" w:hAnsi="Arial"/>
          <w:color w:val="010000"/>
          <w:sz w:val="20"/>
        </w:rPr>
        <w:t xml:space="preserve">On May </w:t>
      </w:r>
      <w:r w:rsidR="00774E72" w:rsidRPr="00D6304D">
        <w:rPr>
          <w:rFonts w:ascii="Arial" w:hAnsi="Arial"/>
          <w:color w:val="010000"/>
          <w:sz w:val="20"/>
        </w:rPr>
        <w:t>0</w:t>
      </w:r>
      <w:r w:rsidRPr="00D6304D">
        <w:rPr>
          <w:rFonts w:ascii="Arial" w:hAnsi="Arial"/>
          <w:color w:val="010000"/>
          <w:sz w:val="20"/>
        </w:rPr>
        <w:t>9, 2024, Southern Gas Trading Joint Stock Company announced Resolution No. 13/NQ-KMN on collecting shareholders’ opinions via</w:t>
      </w:r>
      <w:r w:rsidR="00774E72" w:rsidRPr="00D6304D">
        <w:rPr>
          <w:rFonts w:ascii="Arial" w:hAnsi="Arial"/>
          <w:color w:val="010000"/>
          <w:sz w:val="20"/>
        </w:rPr>
        <w:t xml:space="preserve"> a</w:t>
      </w:r>
      <w:r w:rsidRPr="00D6304D">
        <w:rPr>
          <w:rFonts w:ascii="Arial" w:hAnsi="Arial"/>
          <w:color w:val="010000"/>
          <w:sz w:val="20"/>
        </w:rPr>
        <w:t xml:space="preserve"> ballot to approve the </w:t>
      </w:r>
      <w:r w:rsidR="00774E72" w:rsidRPr="00D6304D">
        <w:rPr>
          <w:rFonts w:ascii="Arial" w:hAnsi="Arial"/>
          <w:color w:val="010000"/>
          <w:sz w:val="20"/>
        </w:rPr>
        <w:t>D</w:t>
      </w:r>
      <w:r w:rsidRPr="00D6304D">
        <w:rPr>
          <w:rFonts w:ascii="Arial" w:hAnsi="Arial"/>
          <w:color w:val="010000"/>
          <w:sz w:val="20"/>
        </w:rPr>
        <w:t>ecision of the General Meeting of Shareholders as follows:</w:t>
      </w:r>
      <w:bookmarkStart w:id="0" w:name="_GoBack"/>
      <w:bookmarkEnd w:id="0"/>
    </w:p>
    <w:p w14:paraId="363FB825" w14:textId="289CE098" w:rsidR="00F06A42" w:rsidRPr="00D6304D" w:rsidRDefault="00D6304D" w:rsidP="00C81F0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D6304D">
        <w:rPr>
          <w:rFonts w:ascii="Arial" w:hAnsi="Arial"/>
          <w:color w:val="010000"/>
          <w:sz w:val="20"/>
        </w:rPr>
        <w:t>‎‎Article 1. Approve collecting shareholders’ opinions via</w:t>
      </w:r>
      <w:r w:rsidR="00774E72" w:rsidRPr="00D6304D">
        <w:rPr>
          <w:rFonts w:ascii="Arial" w:hAnsi="Arial"/>
          <w:color w:val="010000"/>
          <w:sz w:val="20"/>
        </w:rPr>
        <w:t xml:space="preserve"> a</w:t>
      </w:r>
      <w:r w:rsidRPr="00D6304D">
        <w:rPr>
          <w:rFonts w:ascii="Arial" w:hAnsi="Arial"/>
          <w:color w:val="010000"/>
          <w:sz w:val="20"/>
        </w:rPr>
        <w:t xml:space="preserve"> ballot to approve the </w:t>
      </w:r>
      <w:r w:rsidR="00774E72" w:rsidRPr="00D6304D">
        <w:rPr>
          <w:rFonts w:ascii="Arial" w:hAnsi="Arial"/>
          <w:color w:val="010000"/>
          <w:sz w:val="20"/>
        </w:rPr>
        <w:t>D</w:t>
      </w:r>
      <w:r w:rsidRPr="00D6304D">
        <w:rPr>
          <w:rFonts w:ascii="Arial" w:hAnsi="Arial"/>
          <w:color w:val="010000"/>
          <w:sz w:val="20"/>
        </w:rPr>
        <w:t>ecision of the General Meeting of Shareholders with the following contents:</w:t>
      </w:r>
    </w:p>
    <w:p w14:paraId="45883184" w14:textId="40B19A10" w:rsidR="00F06A42" w:rsidRPr="00D6304D" w:rsidRDefault="00D6304D" w:rsidP="00C81F0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D6304D">
        <w:rPr>
          <w:rFonts w:ascii="Arial" w:hAnsi="Arial"/>
          <w:color w:val="010000"/>
          <w:sz w:val="20"/>
        </w:rPr>
        <w:t xml:space="preserve">Supplement </w:t>
      </w:r>
      <w:r w:rsidR="00774E72" w:rsidRPr="00D6304D">
        <w:rPr>
          <w:rFonts w:ascii="Arial" w:hAnsi="Arial"/>
          <w:color w:val="010000"/>
          <w:sz w:val="20"/>
        </w:rPr>
        <w:t xml:space="preserve">the </w:t>
      </w:r>
      <w:r w:rsidRPr="00D6304D">
        <w:rPr>
          <w:rFonts w:ascii="Arial" w:hAnsi="Arial"/>
          <w:color w:val="010000"/>
          <w:sz w:val="20"/>
        </w:rPr>
        <w:t>business lines:</w:t>
      </w:r>
    </w:p>
    <w:tbl>
      <w:tblPr>
        <w:tblStyle w:val="a"/>
        <w:tblW w:w="9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49"/>
        <w:gridCol w:w="4568"/>
      </w:tblGrid>
      <w:tr w:rsidR="00F06A42" w:rsidRPr="00D6304D" w14:paraId="7E417E2B" w14:textId="77777777">
        <w:tc>
          <w:tcPr>
            <w:tcW w:w="4449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4E07923" w14:textId="2C3EBE8E" w:rsidR="00F06A42" w:rsidRPr="00D6304D" w:rsidRDefault="00D6304D" w:rsidP="00C81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6304D">
              <w:rPr>
                <w:rFonts w:ascii="Arial" w:hAnsi="Arial"/>
                <w:color w:val="010000"/>
                <w:sz w:val="20"/>
              </w:rPr>
              <w:t xml:space="preserve">(Code) </w:t>
            </w:r>
            <w:r w:rsidR="00774E72" w:rsidRPr="00D6304D">
              <w:rPr>
                <w:rFonts w:ascii="Arial" w:hAnsi="Arial"/>
                <w:color w:val="010000"/>
                <w:sz w:val="20"/>
              </w:rPr>
              <w:t>B</w:t>
            </w:r>
            <w:r w:rsidRPr="00D6304D">
              <w:rPr>
                <w:rFonts w:ascii="Arial" w:hAnsi="Arial"/>
                <w:color w:val="010000"/>
                <w:sz w:val="20"/>
              </w:rPr>
              <w:t>usiness lines before supplement</w:t>
            </w:r>
          </w:p>
        </w:tc>
        <w:tc>
          <w:tcPr>
            <w:tcW w:w="4568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293E193" w14:textId="53DC2CDA" w:rsidR="00F06A42" w:rsidRPr="00D6304D" w:rsidRDefault="00D6304D" w:rsidP="00C81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6304D">
              <w:rPr>
                <w:rFonts w:ascii="Arial" w:hAnsi="Arial"/>
                <w:color w:val="010000"/>
                <w:sz w:val="20"/>
              </w:rPr>
              <w:t xml:space="preserve">(Code) </w:t>
            </w:r>
            <w:r w:rsidR="00774E72" w:rsidRPr="00D6304D">
              <w:rPr>
                <w:rFonts w:ascii="Arial" w:hAnsi="Arial"/>
                <w:color w:val="010000"/>
                <w:sz w:val="20"/>
              </w:rPr>
              <w:t>B</w:t>
            </w:r>
            <w:r w:rsidRPr="00D6304D">
              <w:rPr>
                <w:rFonts w:ascii="Arial" w:hAnsi="Arial"/>
                <w:color w:val="010000"/>
                <w:sz w:val="20"/>
              </w:rPr>
              <w:t>usiness lines after supplement (*)</w:t>
            </w:r>
          </w:p>
        </w:tc>
      </w:tr>
      <w:tr w:rsidR="00F06A42" w:rsidRPr="00D6304D" w14:paraId="6920C5B5" w14:textId="77777777">
        <w:tc>
          <w:tcPr>
            <w:tcW w:w="4449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192398D" w14:textId="77777777" w:rsidR="00F06A42" w:rsidRPr="00D6304D" w:rsidRDefault="00D6304D" w:rsidP="00C81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6304D">
              <w:rPr>
                <w:rFonts w:ascii="Arial" w:hAnsi="Arial"/>
                <w:color w:val="010000"/>
                <w:sz w:val="20"/>
              </w:rPr>
              <w:t>(4299) Construct other civil engineering works (when in operation, the enterprise must meet the condition that the foreign enterprise must be a legal entity of a WTO Member)</w:t>
            </w:r>
          </w:p>
        </w:tc>
        <w:tc>
          <w:tcPr>
            <w:tcW w:w="4568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1B69F6D" w14:textId="77777777" w:rsidR="00F06A42" w:rsidRPr="00D6304D" w:rsidRDefault="00D6304D" w:rsidP="00C81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6304D">
              <w:rPr>
                <w:rFonts w:ascii="Arial" w:hAnsi="Arial"/>
                <w:color w:val="010000"/>
                <w:sz w:val="20"/>
              </w:rPr>
              <w:t>(4299) Construct other civil engineering works</w:t>
            </w:r>
          </w:p>
          <w:p w14:paraId="660F0431" w14:textId="77777777" w:rsidR="00F06A42" w:rsidRPr="00D6304D" w:rsidRDefault="00D6304D" w:rsidP="00C81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6304D">
              <w:rPr>
                <w:rFonts w:ascii="Arial" w:hAnsi="Arial"/>
                <w:color w:val="010000"/>
                <w:sz w:val="20"/>
              </w:rPr>
              <w:t>Details: Construction services for civil designs (CPC 513) (when in operation, the enterprise must meet the condition that the foreign enterprise must be a legal entity of a WTO Member)</w:t>
            </w:r>
          </w:p>
        </w:tc>
      </w:tr>
      <w:tr w:rsidR="00F06A42" w:rsidRPr="00D6304D" w14:paraId="12089786" w14:textId="77777777">
        <w:tc>
          <w:tcPr>
            <w:tcW w:w="4449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94D9EE6" w14:textId="77777777" w:rsidR="00F06A42" w:rsidRPr="00D6304D" w:rsidRDefault="00D6304D" w:rsidP="00C81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6304D">
              <w:rPr>
                <w:rFonts w:ascii="Arial" w:hAnsi="Arial"/>
                <w:color w:val="010000"/>
                <w:sz w:val="20"/>
              </w:rPr>
              <w:t>(4329): None</w:t>
            </w:r>
          </w:p>
        </w:tc>
        <w:tc>
          <w:tcPr>
            <w:tcW w:w="4568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1D5B7D8" w14:textId="77777777" w:rsidR="00F06A42" w:rsidRPr="00D6304D" w:rsidRDefault="00D6304D" w:rsidP="00C81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6304D">
              <w:rPr>
                <w:rFonts w:ascii="Arial" w:hAnsi="Arial"/>
                <w:color w:val="010000"/>
                <w:sz w:val="20"/>
              </w:rPr>
              <w:t xml:space="preserve">(4329) Install other construction systems </w:t>
            </w:r>
          </w:p>
          <w:p w14:paraId="1EFAAE97" w14:textId="77777777" w:rsidR="00F06A42" w:rsidRPr="00D6304D" w:rsidRDefault="00D6304D" w:rsidP="00C81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6304D">
              <w:rPr>
                <w:rFonts w:ascii="Arial" w:hAnsi="Arial"/>
                <w:color w:val="010000"/>
                <w:sz w:val="20"/>
              </w:rPr>
              <w:t>Details: Erection and installation work (CPC 514, 516).</w:t>
            </w:r>
          </w:p>
        </w:tc>
      </w:tr>
    </w:tbl>
    <w:p w14:paraId="6EA999C9" w14:textId="77777777" w:rsidR="00F06A42" w:rsidRPr="00D6304D" w:rsidRDefault="00D6304D" w:rsidP="00C81F0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D6304D">
        <w:rPr>
          <w:rFonts w:ascii="Arial" w:hAnsi="Arial"/>
          <w:color w:val="010000"/>
          <w:sz w:val="20"/>
        </w:rPr>
        <w:t>(*) Details of the above business lines can be appropriately adjusted and supplemented at the request of the competent authority within the business code approved by the General Meeting of Shareholders.</w:t>
      </w:r>
    </w:p>
    <w:p w14:paraId="11ACA194" w14:textId="77777777" w:rsidR="00774E72" w:rsidRPr="00D6304D" w:rsidRDefault="00D6304D" w:rsidP="00C81F0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D6304D">
        <w:rPr>
          <w:rFonts w:ascii="Arial" w:hAnsi="Arial"/>
          <w:color w:val="010000"/>
          <w:sz w:val="20"/>
        </w:rPr>
        <w:t>Amend the Company's Charter according to the content of supplementing business lines approved by the General Meeting of Shareholders.</w:t>
      </w:r>
    </w:p>
    <w:p w14:paraId="20F07B06" w14:textId="34508FE2" w:rsidR="00F06A42" w:rsidRPr="00D6304D" w:rsidRDefault="00774E72" w:rsidP="00C81F0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D6304D">
        <w:rPr>
          <w:rFonts w:ascii="Arial" w:hAnsi="Arial"/>
          <w:color w:val="010000"/>
          <w:sz w:val="20"/>
        </w:rPr>
        <w:t>Record date of collecting shareholders’ opinions: May 31, 2024</w:t>
      </w:r>
    </w:p>
    <w:p w14:paraId="44AC61FB" w14:textId="4931296D" w:rsidR="00F06A42" w:rsidRPr="00D6304D" w:rsidRDefault="00D6304D" w:rsidP="00C81F0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D6304D">
        <w:rPr>
          <w:rFonts w:ascii="Arial" w:hAnsi="Arial"/>
          <w:color w:val="010000"/>
          <w:sz w:val="20"/>
        </w:rPr>
        <w:t xml:space="preserve">‎‎Article 2. The Board of Directors authorizes the Chair of the Board of Directors/General Manager of the Company to decide on the contents within the authority of the Board of Directors related to the collection of shareholders' opinions via </w:t>
      </w:r>
      <w:r w:rsidR="00774E72" w:rsidRPr="00D6304D">
        <w:rPr>
          <w:rFonts w:ascii="Arial" w:hAnsi="Arial"/>
          <w:color w:val="010000"/>
          <w:sz w:val="20"/>
        </w:rPr>
        <w:t xml:space="preserve">a </w:t>
      </w:r>
      <w:r w:rsidRPr="00D6304D">
        <w:rPr>
          <w:rFonts w:ascii="Arial" w:hAnsi="Arial"/>
          <w:color w:val="010000"/>
          <w:sz w:val="20"/>
        </w:rPr>
        <w:t xml:space="preserve">ballot as mentioned above until completing </w:t>
      </w:r>
      <w:r w:rsidR="00774E72" w:rsidRPr="00D6304D">
        <w:rPr>
          <w:rFonts w:ascii="Arial" w:hAnsi="Arial"/>
          <w:color w:val="010000"/>
          <w:sz w:val="20"/>
        </w:rPr>
        <w:t>it</w:t>
      </w:r>
      <w:r w:rsidRPr="00D6304D">
        <w:rPr>
          <w:rFonts w:ascii="Arial" w:hAnsi="Arial"/>
          <w:color w:val="010000"/>
          <w:sz w:val="20"/>
        </w:rPr>
        <w:t xml:space="preserve"> and approv</w:t>
      </w:r>
      <w:r w:rsidR="007F28E7" w:rsidRPr="00D6304D">
        <w:rPr>
          <w:rFonts w:ascii="Arial" w:hAnsi="Arial"/>
          <w:color w:val="010000"/>
          <w:sz w:val="20"/>
        </w:rPr>
        <w:t>e</w:t>
      </w:r>
      <w:r w:rsidRPr="00D6304D">
        <w:rPr>
          <w:rFonts w:ascii="Arial" w:hAnsi="Arial"/>
          <w:color w:val="010000"/>
          <w:sz w:val="20"/>
        </w:rPr>
        <w:t xml:space="preserve"> the </w:t>
      </w:r>
      <w:r w:rsidR="007F28E7" w:rsidRPr="00D6304D">
        <w:rPr>
          <w:rFonts w:ascii="Arial" w:hAnsi="Arial"/>
          <w:color w:val="010000"/>
          <w:sz w:val="20"/>
        </w:rPr>
        <w:t>D</w:t>
      </w:r>
      <w:r w:rsidRPr="00D6304D">
        <w:rPr>
          <w:rFonts w:ascii="Arial" w:hAnsi="Arial"/>
          <w:color w:val="010000"/>
          <w:sz w:val="20"/>
        </w:rPr>
        <w:t>ecision of the General Meeting of Shareholders in accordance with Article 1 of this Resolution, the provisions of law and the Company’s Charter.</w:t>
      </w:r>
    </w:p>
    <w:p w14:paraId="2437BAFE" w14:textId="77777777" w:rsidR="00F06A42" w:rsidRPr="00D6304D" w:rsidRDefault="00D6304D" w:rsidP="00C81F0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D6304D">
        <w:rPr>
          <w:rFonts w:ascii="Arial" w:hAnsi="Arial"/>
          <w:color w:val="010000"/>
          <w:sz w:val="20"/>
        </w:rPr>
        <w:t>Article 3. The Company's General Manager and Heads of relevant Departments are responsible for implementing this Resolution./.</w:t>
      </w:r>
    </w:p>
    <w:sectPr w:rsidR="00F06A42" w:rsidRPr="00D6304D">
      <w:pgSz w:w="11907" w:h="16839"/>
      <w:pgMar w:top="1440" w:right="1440" w:bottom="1440" w:left="1440" w:header="0" w:footer="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4797CDF-B7B9-4A57-AB00-A799E85983E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charset w:val="00"/>
    <w:family w:val="auto"/>
    <w:pitch w:val="default"/>
    <w:embedRegular r:id="rId2" w:fontKey="{AE3824EF-9F4F-4C78-A192-2B1700D222C5}"/>
    <w:embedBold r:id="rId3" w:fontKey="{7FCFE6DC-4F28-41ED-A23B-107ECC2FB1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2375FD4-F0F0-4D83-A5D7-87B3837C0AE5}"/>
    <w:embedItalic r:id="rId5" w:fontKey="{95337894-DCD2-4B82-B4B1-0AF936BCF20A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90D121F-66C2-4494-900B-F8EDB48B88E4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FBEF668-0F82-42E5-9870-68ECE1036AA5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B7340"/>
    <w:multiLevelType w:val="multilevel"/>
    <w:tmpl w:val="5AD4DC2A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8B6539"/>
    <w:multiLevelType w:val="hybridMultilevel"/>
    <w:tmpl w:val="1F02FDB8"/>
    <w:lvl w:ilvl="0" w:tplc="59E2B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A42"/>
    <w:rsid w:val="007515FE"/>
    <w:rsid w:val="00774E72"/>
    <w:rsid w:val="007F28E7"/>
    <w:rsid w:val="00AF7EE1"/>
    <w:rsid w:val="00C81F0E"/>
    <w:rsid w:val="00C9039A"/>
    <w:rsid w:val="00D6304D"/>
    <w:rsid w:val="00F0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939293"/>
  <w15:docId w15:val="{210277FF-19FF-464A-BEB8-9B6E2DE88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Neue" w:eastAsia="Helvetica Neue" w:hAnsi="Helvetica Neue" w:cs="Helvetica Neue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Other">
    <w:name w:val="Other_"/>
    <w:basedOn w:val="DefaultParagraphFont"/>
    <w:link w:val="Oth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Heading20">
    <w:name w:val="Heading #2_"/>
    <w:basedOn w:val="DefaultParagraphFont"/>
    <w:link w:val="Heading21"/>
    <w:rPr>
      <w:rFonts w:ascii="Arial" w:eastAsia="Arial" w:hAnsi="Arial" w:cs="Arial"/>
      <w:b w:val="0"/>
      <w:bCs w:val="0"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Heading30">
    <w:name w:val="Heading #3_"/>
    <w:basedOn w:val="DefaultParagraphFont"/>
    <w:link w:val="Heading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Tablecaption">
    <w:name w:val="Table caption_"/>
    <w:basedOn w:val="DefaultParagraphFont"/>
    <w:link w:val="Tablecaption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Heading10">
    <w:name w:val="Heading #1_"/>
    <w:basedOn w:val="DefaultParagraphFont"/>
    <w:link w:val="Heading11"/>
    <w:rPr>
      <w:rFonts w:ascii="Arial" w:eastAsia="Arial" w:hAnsi="Arial" w:cs="Arial"/>
      <w:b/>
      <w:bCs/>
      <w:i/>
      <w:iCs/>
      <w:smallCaps w:val="0"/>
      <w:strike w:val="0"/>
      <w:color w:val="059447"/>
      <w:sz w:val="40"/>
      <w:szCs w:val="40"/>
      <w:u w:val="none"/>
      <w:shd w:val="clear" w:color="auto" w:fill="auto"/>
    </w:rPr>
  </w:style>
  <w:style w:type="character" w:customStyle="1" w:styleId="Bodytext4">
    <w:name w:val="Body text (4)_"/>
    <w:basedOn w:val="DefaultParagraphFont"/>
    <w:link w:val="Bodytext40"/>
    <w:rPr>
      <w:rFonts w:ascii="Arial" w:eastAsia="Arial" w:hAnsi="Arial" w:cs="Arial"/>
      <w:b w:val="0"/>
      <w:bCs w:val="0"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E64F6B"/>
      <w:w w:val="80"/>
      <w:sz w:val="20"/>
      <w:szCs w:val="20"/>
      <w:u w:val="none"/>
      <w:shd w:val="clear" w:color="auto" w:fill="auto"/>
    </w:rPr>
  </w:style>
  <w:style w:type="paragraph" w:styleId="BodyText">
    <w:name w:val="Body Text"/>
    <w:basedOn w:val="Normal"/>
    <w:link w:val="BodyTextChar"/>
    <w:qFormat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Other0">
    <w:name w:val="Other"/>
    <w:basedOn w:val="Normal"/>
    <w:link w:val="Other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Heading21">
    <w:name w:val="Heading #2"/>
    <w:basedOn w:val="Normal"/>
    <w:link w:val="Heading20"/>
    <w:pPr>
      <w:spacing w:line="235" w:lineRule="auto"/>
      <w:jc w:val="center"/>
      <w:outlineLvl w:val="1"/>
    </w:pPr>
    <w:rPr>
      <w:rFonts w:ascii="Arial" w:eastAsia="Arial" w:hAnsi="Arial" w:cs="Arial"/>
      <w:sz w:val="36"/>
      <w:szCs w:val="36"/>
    </w:rPr>
  </w:style>
  <w:style w:type="paragraph" w:customStyle="1" w:styleId="Bodytext20">
    <w:name w:val="Body text (2)"/>
    <w:basedOn w:val="Normal"/>
    <w:link w:val="Bodytext2"/>
    <w:rPr>
      <w:rFonts w:ascii="Arial" w:eastAsia="Arial" w:hAnsi="Arial" w:cs="Arial"/>
      <w:sz w:val="20"/>
      <w:szCs w:val="20"/>
    </w:rPr>
  </w:style>
  <w:style w:type="paragraph" w:customStyle="1" w:styleId="Heading31">
    <w:name w:val="Heading #3"/>
    <w:basedOn w:val="Normal"/>
    <w:link w:val="Heading30"/>
    <w:pPr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Tablecaption0">
    <w:name w:val="Table caption"/>
    <w:basedOn w:val="Normal"/>
    <w:link w:val="Tablecaption"/>
    <w:pPr>
      <w:ind w:firstLine="590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Heading11">
    <w:name w:val="Heading #1"/>
    <w:basedOn w:val="Normal"/>
    <w:link w:val="Heading10"/>
    <w:pPr>
      <w:outlineLvl w:val="0"/>
    </w:pPr>
    <w:rPr>
      <w:rFonts w:ascii="Arial" w:eastAsia="Arial" w:hAnsi="Arial" w:cs="Arial"/>
      <w:b/>
      <w:bCs/>
      <w:i/>
      <w:iCs/>
      <w:color w:val="059447"/>
      <w:sz w:val="40"/>
      <w:szCs w:val="40"/>
    </w:rPr>
  </w:style>
  <w:style w:type="paragraph" w:customStyle="1" w:styleId="Bodytext40">
    <w:name w:val="Body text (4)"/>
    <w:basedOn w:val="Normal"/>
    <w:link w:val="Bodytext4"/>
    <w:pPr>
      <w:spacing w:line="233" w:lineRule="auto"/>
      <w:jc w:val="center"/>
    </w:pPr>
    <w:rPr>
      <w:rFonts w:ascii="Arial" w:eastAsia="Arial" w:hAnsi="Arial" w:cs="Arial"/>
      <w:sz w:val="36"/>
      <w:szCs w:val="36"/>
    </w:rPr>
  </w:style>
  <w:style w:type="paragraph" w:customStyle="1" w:styleId="Bodytext30">
    <w:name w:val="Body text (3)"/>
    <w:basedOn w:val="Normal"/>
    <w:link w:val="Bodytext3"/>
    <w:pPr>
      <w:ind w:left="1680" w:firstLine="500"/>
    </w:pPr>
    <w:rPr>
      <w:rFonts w:ascii="Times New Roman" w:eastAsia="Times New Roman" w:hAnsi="Times New Roman" w:cs="Times New Roman"/>
      <w:color w:val="E64F6B"/>
      <w:w w:val="80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ListParagraph">
    <w:name w:val="List Paragraph"/>
    <w:basedOn w:val="Normal"/>
    <w:uiPriority w:val="34"/>
    <w:qFormat/>
    <w:rsid w:val="00774E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QiO3ZcOInuPAedZDl7doyq4T0g==">CgMxLjA4AHIhMXpXRndqS1Z2TUtzSEREOFBtdTlmYUZGN25uaFhuRGxH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Hoang Phuong Thao</cp:lastModifiedBy>
  <cp:revision>6</cp:revision>
  <dcterms:created xsi:type="dcterms:W3CDTF">2024-05-10T09:08:00Z</dcterms:created>
  <dcterms:modified xsi:type="dcterms:W3CDTF">2024-05-13T05:00:00Z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f899d9ef1fe5dfdb41a6702e0d30ad12b9e80f2037af7db6419600813a2874b0</vt:lpwstr>
  </property>
</Properties>
</file>