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516C" w:rsidRPr="00DC607E" w:rsidRDefault="00CB5723" w:rsidP="002D4E5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607E">
        <w:rPr>
          <w:rFonts w:ascii="Arial" w:hAnsi="Arial" w:cs="Arial"/>
          <w:b/>
          <w:color w:val="010000"/>
          <w:sz w:val="20"/>
        </w:rPr>
        <w:t>BVL: Board Resolution</w:t>
      </w:r>
    </w:p>
    <w:p w14:paraId="00000002" w14:textId="3191231D" w:rsidR="009F516C" w:rsidRPr="00DC607E" w:rsidRDefault="00CB5723" w:rsidP="002D4E5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 xml:space="preserve">On May 8, 2024, BV Land Joint Stock Company announced Resolution No. 13/2024/NQ/HDQT-BVL on approving the Guarantee policy for obligations of BV Invest Joint Stock Company for </w:t>
      </w:r>
      <w:r w:rsidR="00A05011" w:rsidRPr="00DC607E">
        <w:rPr>
          <w:rFonts w:ascii="Arial" w:hAnsi="Arial" w:cs="Arial"/>
          <w:color w:val="010000"/>
          <w:sz w:val="20"/>
        </w:rPr>
        <w:t>the</w:t>
      </w:r>
      <w:r w:rsidRPr="00DC607E">
        <w:rPr>
          <w:rFonts w:ascii="Arial" w:hAnsi="Arial" w:cs="Arial"/>
          <w:color w:val="010000"/>
          <w:sz w:val="20"/>
        </w:rPr>
        <w:t xml:space="preserve"> loan under the Credit Agreement with the Joint Stock Commercial Bank for Investment and Development of Viet Nam - Ha </w:t>
      </w:r>
      <w:proofErr w:type="spellStart"/>
      <w:r w:rsidRPr="00DC607E">
        <w:rPr>
          <w:rFonts w:ascii="Arial" w:hAnsi="Arial" w:cs="Arial"/>
          <w:color w:val="010000"/>
          <w:sz w:val="20"/>
        </w:rPr>
        <w:t>Thanh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Branch, as follows:</w:t>
      </w:r>
    </w:p>
    <w:p w14:paraId="00000003" w14:textId="1CDB3901" w:rsidR="009F516C" w:rsidRPr="00DC607E" w:rsidRDefault="00CB5723" w:rsidP="002D4E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36"/>
          <w:tab w:val="left" w:pos="5890"/>
          <w:tab w:val="left" w:pos="6318"/>
          <w:tab w:val="left" w:pos="96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‎‎Article 1. Approve the content of Proposal No. 13/2024/</w:t>
      </w:r>
      <w:proofErr w:type="spellStart"/>
      <w:r w:rsidRPr="00DC607E">
        <w:rPr>
          <w:rFonts w:ascii="Arial" w:hAnsi="Arial" w:cs="Arial"/>
          <w:color w:val="010000"/>
          <w:sz w:val="20"/>
        </w:rPr>
        <w:t>TTr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/TGD-BVL dated May 3, 2024, on approving the Guarantee policy for obligations of BV Invest Joint Stock Company for </w:t>
      </w:r>
      <w:r w:rsidR="00A05011" w:rsidRPr="00DC607E">
        <w:rPr>
          <w:rFonts w:ascii="Arial" w:hAnsi="Arial" w:cs="Arial"/>
          <w:color w:val="010000"/>
          <w:sz w:val="20"/>
        </w:rPr>
        <w:t>the</w:t>
      </w:r>
      <w:r w:rsidRPr="00DC607E">
        <w:rPr>
          <w:rFonts w:ascii="Arial" w:hAnsi="Arial" w:cs="Arial"/>
          <w:color w:val="010000"/>
          <w:sz w:val="20"/>
        </w:rPr>
        <w:t xml:space="preserve"> loan under the Credit Agreement with the Joint Stock Commercial Bank for Investment and Development of Viet Nam - Ha </w:t>
      </w:r>
      <w:proofErr w:type="spellStart"/>
      <w:r w:rsidRPr="00DC607E">
        <w:rPr>
          <w:rFonts w:ascii="Arial" w:hAnsi="Arial" w:cs="Arial"/>
          <w:color w:val="010000"/>
          <w:sz w:val="20"/>
        </w:rPr>
        <w:t>Thanh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Branch. In which: </w:t>
      </w:r>
    </w:p>
    <w:p w14:paraId="00000004" w14:textId="78DD4A1C" w:rsidR="009F516C" w:rsidRPr="00DC607E" w:rsidRDefault="00CB5723" w:rsidP="002D4E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 xml:space="preserve">Approve guaranteeing upon the request of BV Invest Joint Stock Company, Headquartered at Floor 3, Rivera Park Building, 69 Vu </w:t>
      </w:r>
      <w:proofErr w:type="spellStart"/>
      <w:r w:rsidRPr="00DC607E">
        <w:rPr>
          <w:rFonts w:ascii="Arial" w:hAnsi="Arial" w:cs="Arial"/>
          <w:color w:val="010000"/>
          <w:sz w:val="20"/>
        </w:rPr>
        <w:t>Trong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Phung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DC607E">
        <w:rPr>
          <w:rFonts w:ascii="Arial" w:hAnsi="Arial" w:cs="Arial"/>
          <w:color w:val="010000"/>
          <w:sz w:val="20"/>
        </w:rPr>
        <w:t>Thanh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Xuan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Trung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DC607E">
        <w:rPr>
          <w:rFonts w:ascii="Arial" w:hAnsi="Arial" w:cs="Arial"/>
          <w:color w:val="010000"/>
          <w:sz w:val="20"/>
        </w:rPr>
        <w:t>Thanh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Xuan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District, Hanoi City, with business registration number </w:t>
      </w:r>
      <w:r w:rsidR="00DC607E" w:rsidRPr="00DC607E">
        <w:rPr>
          <w:rFonts w:ascii="Arial" w:hAnsi="Arial" w:cs="Arial"/>
          <w:color w:val="010000"/>
          <w:sz w:val="20"/>
        </w:rPr>
        <w:t xml:space="preserve">of </w:t>
      </w:r>
      <w:r w:rsidRPr="00DC607E">
        <w:rPr>
          <w:rFonts w:ascii="Arial" w:hAnsi="Arial" w:cs="Arial"/>
          <w:color w:val="010000"/>
          <w:sz w:val="20"/>
        </w:rPr>
        <w:t xml:space="preserve">0101367050 (hereinafter referred to as </w:t>
      </w:r>
      <w:r w:rsidR="00DC607E" w:rsidRPr="00DC607E">
        <w:rPr>
          <w:rFonts w:ascii="Arial" w:hAnsi="Arial" w:cs="Arial"/>
          <w:color w:val="010000"/>
          <w:sz w:val="20"/>
        </w:rPr>
        <w:t>“Guaranteed party</w:t>
      </w:r>
      <w:r w:rsidRPr="00DC607E">
        <w:rPr>
          <w:rFonts w:ascii="Arial" w:hAnsi="Arial" w:cs="Arial"/>
          <w:color w:val="010000"/>
          <w:sz w:val="20"/>
        </w:rPr>
        <w:t xml:space="preserve">"), which has a credit relationship with the Joint Stock Commercial Bank for Investment and Development of Viet Nam - Ha </w:t>
      </w:r>
      <w:proofErr w:type="spellStart"/>
      <w:r w:rsidRPr="00DC607E">
        <w:rPr>
          <w:rFonts w:ascii="Arial" w:hAnsi="Arial" w:cs="Arial"/>
          <w:color w:val="010000"/>
          <w:sz w:val="20"/>
        </w:rPr>
        <w:t>Thanh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Branch, located at 74 </w:t>
      </w:r>
      <w:proofErr w:type="spellStart"/>
      <w:r w:rsidRPr="00DC607E">
        <w:rPr>
          <w:rFonts w:ascii="Arial" w:hAnsi="Arial" w:cs="Arial"/>
          <w:color w:val="010000"/>
          <w:sz w:val="20"/>
        </w:rPr>
        <w:t>Tho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Nhuom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Street, Tran Hung Dao Ward, </w:t>
      </w:r>
      <w:proofErr w:type="spellStart"/>
      <w:r w:rsidRPr="00DC607E">
        <w:rPr>
          <w:rFonts w:ascii="Arial" w:hAnsi="Arial" w:cs="Arial"/>
          <w:color w:val="010000"/>
          <w:sz w:val="20"/>
        </w:rPr>
        <w:t>Hoan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607E">
        <w:rPr>
          <w:rFonts w:ascii="Arial" w:hAnsi="Arial" w:cs="Arial"/>
          <w:color w:val="010000"/>
          <w:sz w:val="20"/>
        </w:rPr>
        <w:t>Kiem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District, Hanoi (hereinafter referred to as the "Beneficiary"), as follows:</w:t>
      </w:r>
    </w:p>
    <w:p w14:paraId="00000005" w14:textId="77777777" w:rsidR="009F516C" w:rsidRPr="00DC607E" w:rsidRDefault="00CB5723" w:rsidP="002D4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Agree to issue a letter of guarantee committing not to cancel unilaterally, unconditionally, with the following contents:</w:t>
      </w:r>
    </w:p>
    <w:p w14:paraId="00000006" w14:textId="527679A8" w:rsidR="009F516C" w:rsidRPr="00DC607E" w:rsidRDefault="00CB5723" w:rsidP="002D4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 xml:space="preserve">Agree to guarantee all obligations to repay debts in full and on time (including principal, interest, fees, penalties, damages compensation, and other financial obligations) arising from all credit granting </w:t>
      </w:r>
      <w:r w:rsidR="00BF5AC7">
        <w:rPr>
          <w:rFonts w:ascii="Arial" w:hAnsi="Arial" w:cs="Arial"/>
          <w:color w:val="010000"/>
          <w:sz w:val="20"/>
        </w:rPr>
        <w:t>agreements</w:t>
      </w:r>
      <w:r w:rsidRPr="00DC607E">
        <w:rPr>
          <w:rFonts w:ascii="Arial" w:hAnsi="Arial" w:cs="Arial"/>
          <w:color w:val="010000"/>
          <w:sz w:val="20"/>
        </w:rPr>
        <w:t xml:space="preserve"> (including but not limited to</w:t>
      </w:r>
      <w:bookmarkStart w:id="0" w:name="_GoBack"/>
      <w:bookmarkEnd w:id="0"/>
      <w:r w:rsidR="00051BE6" w:rsidRPr="00DC607E">
        <w:rPr>
          <w:rFonts w:ascii="Arial" w:hAnsi="Arial" w:cs="Arial"/>
          <w:color w:val="010000"/>
          <w:sz w:val="20"/>
        </w:rPr>
        <w:t xml:space="preserve"> </w:t>
      </w:r>
      <w:r w:rsidRPr="00DC607E">
        <w:rPr>
          <w:rFonts w:ascii="Arial" w:hAnsi="Arial" w:cs="Arial"/>
          <w:color w:val="010000"/>
          <w:sz w:val="20"/>
        </w:rPr>
        <w:t xml:space="preserve">credit agreements, guarantee agreements, discounting agreements, documents related to the issuance of a Letter of Credit, other credit agreements, and any amendments or supplements (if any)...) that the </w:t>
      </w:r>
      <w:r w:rsidR="00DC607E" w:rsidRPr="00DC607E">
        <w:rPr>
          <w:rFonts w:ascii="Arial" w:hAnsi="Arial" w:cs="Arial"/>
          <w:color w:val="010000"/>
          <w:sz w:val="20"/>
        </w:rPr>
        <w:t>Guaranteed party</w:t>
      </w:r>
      <w:r w:rsidRPr="00DC607E">
        <w:rPr>
          <w:rFonts w:ascii="Arial" w:hAnsi="Arial" w:cs="Arial"/>
          <w:color w:val="010000"/>
          <w:sz w:val="20"/>
        </w:rPr>
        <w:t xml:space="preserve"> enters into with the Beneficiary before, simultaneously, and/or after the </w:t>
      </w:r>
      <w:r w:rsidR="00DC607E" w:rsidRPr="00DC607E">
        <w:rPr>
          <w:rFonts w:ascii="Arial" w:hAnsi="Arial" w:cs="Arial"/>
          <w:color w:val="010000"/>
          <w:sz w:val="20"/>
        </w:rPr>
        <w:t>Guarantor</w:t>
      </w:r>
      <w:r w:rsidRPr="00DC607E">
        <w:rPr>
          <w:rFonts w:ascii="Arial" w:hAnsi="Arial" w:cs="Arial"/>
          <w:color w:val="010000"/>
          <w:sz w:val="20"/>
        </w:rPr>
        <w:t xml:space="preserve"> signs the letter of guarantee. </w:t>
      </w:r>
    </w:p>
    <w:p w14:paraId="00000007" w14:textId="45C10801" w:rsidR="009F516C" w:rsidRPr="00DC607E" w:rsidRDefault="00CB5723" w:rsidP="002D4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 xml:space="preserve">Commit to not unilaterally and unconditionally cancel the performance of the debt repayment obligations on behalf of the </w:t>
      </w:r>
      <w:proofErr w:type="gramStart"/>
      <w:r w:rsidR="00DC607E" w:rsidRPr="00DC607E">
        <w:rPr>
          <w:rFonts w:ascii="Arial" w:hAnsi="Arial" w:cs="Arial"/>
          <w:color w:val="010000"/>
          <w:sz w:val="20"/>
        </w:rPr>
        <w:t>Guaranteed</w:t>
      </w:r>
      <w:proofErr w:type="gramEnd"/>
      <w:r w:rsidR="00DC607E" w:rsidRPr="00DC607E">
        <w:rPr>
          <w:rFonts w:ascii="Arial" w:hAnsi="Arial" w:cs="Arial"/>
          <w:color w:val="010000"/>
          <w:sz w:val="20"/>
        </w:rPr>
        <w:t xml:space="preserve"> party</w:t>
      </w:r>
      <w:r w:rsidRPr="00DC607E">
        <w:rPr>
          <w:rFonts w:ascii="Arial" w:hAnsi="Arial" w:cs="Arial"/>
          <w:color w:val="010000"/>
          <w:sz w:val="20"/>
        </w:rPr>
        <w:t xml:space="preserve"> to the Beneficiary within the term stipulated in the letter of guarantee.</w:t>
      </w:r>
    </w:p>
    <w:p w14:paraId="00000008" w14:textId="77777777" w:rsidR="009F516C" w:rsidRPr="00DC607E" w:rsidRDefault="00CB5723" w:rsidP="002D4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Other contents as specified in the letter of guarantee.</w:t>
      </w:r>
    </w:p>
    <w:p w14:paraId="00000009" w14:textId="77777777" w:rsidR="009F516C" w:rsidRPr="00DC607E" w:rsidRDefault="00CB5723" w:rsidP="002D4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Implementation and organization:</w:t>
      </w:r>
    </w:p>
    <w:p w14:paraId="0000000A" w14:textId="1E24EEF8" w:rsidR="009F516C" w:rsidRPr="00DC607E" w:rsidRDefault="00CB5723" w:rsidP="002D4E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 xml:space="preserve">The Board of Directors approves authorizes to Mr. Ly Tuan </w:t>
      </w:r>
      <w:proofErr w:type="spellStart"/>
      <w:r w:rsidRPr="00DC607E">
        <w:rPr>
          <w:rFonts w:ascii="Arial" w:hAnsi="Arial" w:cs="Arial"/>
          <w:color w:val="010000"/>
          <w:sz w:val="20"/>
        </w:rPr>
        <w:t>Anh</w:t>
      </w:r>
      <w:proofErr w:type="spellEnd"/>
      <w:r w:rsidRPr="00DC607E">
        <w:rPr>
          <w:rFonts w:ascii="Arial" w:hAnsi="Arial" w:cs="Arial"/>
          <w:color w:val="010000"/>
          <w:sz w:val="20"/>
        </w:rPr>
        <w:t xml:space="preserve"> - General Manager- Legal representative of the Company to execute the letter of guarantee and related dossiers, documents on behalf of the </w:t>
      </w:r>
      <w:r w:rsidR="00DC607E" w:rsidRPr="00DC607E">
        <w:rPr>
          <w:rFonts w:ascii="Arial" w:hAnsi="Arial" w:cs="Arial"/>
          <w:color w:val="010000"/>
          <w:sz w:val="20"/>
        </w:rPr>
        <w:t>Guaranteed party</w:t>
      </w:r>
      <w:r w:rsidRPr="00DC607E">
        <w:rPr>
          <w:rFonts w:ascii="Arial" w:hAnsi="Arial" w:cs="Arial"/>
          <w:color w:val="010000"/>
          <w:sz w:val="20"/>
        </w:rPr>
        <w:t xml:space="preserve"> and the Beneficiary, and to direct the departments/units to carry out activities according to the commitments and contents approved by the Board of Directors.</w:t>
      </w:r>
    </w:p>
    <w:p w14:paraId="0000000B" w14:textId="77777777" w:rsidR="009F516C" w:rsidRPr="00DC607E" w:rsidRDefault="00CB5723" w:rsidP="002D4E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C" w14:textId="77777777" w:rsidR="009F516C" w:rsidRPr="00DC607E" w:rsidRDefault="00CB5723" w:rsidP="002D4E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607E">
        <w:rPr>
          <w:rFonts w:ascii="Arial" w:hAnsi="Arial" w:cs="Arial"/>
          <w:color w:val="010000"/>
          <w:sz w:val="20"/>
        </w:rPr>
        <w:t>‎‎Article 3. The Board of Directors, the Board of Management and related departments are responsible for the implementation of this Resolution.</w:t>
      </w:r>
    </w:p>
    <w:sectPr w:rsidR="009F516C" w:rsidRPr="00DC607E" w:rsidSect="00AE205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59BE"/>
    <w:multiLevelType w:val="multilevel"/>
    <w:tmpl w:val="2EE42C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643367"/>
    <w:multiLevelType w:val="multilevel"/>
    <w:tmpl w:val="8368B5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C"/>
    <w:rsid w:val="00051BE6"/>
    <w:rsid w:val="002D4E5F"/>
    <w:rsid w:val="009F516C"/>
    <w:rsid w:val="00A05011"/>
    <w:rsid w:val="00AE2053"/>
    <w:rsid w:val="00BF5AC7"/>
    <w:rsid w:val="00CB5723"/>
    <w:rsid w:val="00D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9716F"/>
  <w15:docId w15:val="{7A93045C-6323-48B0-B928-5A81E3D5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360" w:lineRule="auto"/>
      <w:ind w:left="1930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50"/>
      <w:szCs w:val="50"/>
    </w:rPr>
  </w:style>
  <w:style w:type="paragraph" w:customStyle="1" w:styleId="Heading11">
    <w:name w:val="Heading #1"/>
    <w:basedOn w:val="Normal"/>
    <w:link w:val="Heading10"/>
    <w:pPr>
      <w:ind w:firstLine="560"/>
      <w:outlineLvl w:val="0"/>
    </w:pPr>
    <w:rPr>
      <w:rFonts w:ascii="Arial" w:eastAsia="Arial" w:hAnsi="Arial" w:cs="Arial"/>
      <w:sz w:val="50"/>
      <w:szCs w:val="5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95" w:lineRule="auto"/>
      <w:ind w:left="19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1ajIGl0QabjVIYsrR9k2rydazQ==">CgMxLjA4AHIhMU1Tbncyc1dMZ3YtaHE1ZUdMTV9LbC10dTdzcWhJUDBI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2410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2024-05-13T03:20:00Z</dcterms:created>
  <dcterms:modified xsi:type="dcterms:W3CDTF">2024-05-14T07:25:00Z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ec53f9de0b3d1f683b76baf42a701474aeb6af8290c45f242a58732f06e7a7e1</vt:lpwstr>
  </property>
</Properties>
</file>