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2CADA" w14:textId="77777777" w:rsidR="0051693A" w:rsidRPr="0040218B" w:rsidRDefault="0051693A" w:rsidP="0040218B">
      <w:pPr>
        <w:widowControl/>
        <w:pBdr>
          <w:top w:val="nil"/>
          <w:left w:val="nil"/>
          <w:bottom w:val="nil"/>
          <w:right w:val="nil"/>
          <w:between w:val="nil"/>
        </w:pBdr>
        <w:tabs>
          <w:tab w:val="left" w:pos="432"/>
          <w:tab w:val="left" w:pos="540"/>
          <w:tab w:val="left" w:pos="630"/>
        </w:tabs>
        <w:spacing w:after="120" w:line="360" w:lineRule="auto"/>
        <w:jc w:val="both"/>
        <w:rPr>
          <w:rFonts w:ascii="Arial" w:hAnsi="Arial" w:cs="Arial"/>
          <w:b/>
          <w:bCs/>
          <w:color w:val="010000"/>
          <w:sz w:val="20"/>
          <w:szCs w:val="20"/>
        </w:rPr>
      </w:pPr>
      <w:r w:rsidRPr="0040218B">
        <w:rPr>
          <w:rFonts w:ascii="Arial" w:hAnsi="Arial" w:cs="Arial"/>
          <w:b/>
          <w:bCs/>
          <w:color w:val="010000"/>
          <w:sz w:val="20"/>
          <w:szCs w:val="20"/>
        </w:rPr>
        <w:t>CK8: Annual General Mandate 2024</w:t>
      </w:r>
    </w:p>
    <w:p w14:paraId="22DD0070" w14:textId="77777777" w:rsidR="00967E9C" w:rsidRPr="0040218B" w:rsidRDefault="008F3D57" w:rsidP="0040218B">
      <w:pPr>
        <w:widowControl/>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 xml:space="preserve">On May 8, 2024, 120 Mechanical Joint Stock Company announced </w:t>
      </w:r>
      <w:r w:rsidR="006F7DDD" w:rsidRPr="0040218B">
        <w:rPr>
          <w:rFonts w:ascii="Arial" w:hAnsi="Arial" w:cs="Arial"/>
          <w:color w:val="010000"/>
          <w:sz w:val="20"/>
          <w:szCs w:val="20"/>
        </w:rPr>
        <w:t xml:space="preserve">Annual </w:t>
      </w:r>
      <w:r w:rsidRPr="0040218B">
        <w:rPr>
          <w:rFonts w:ascii="Arial" w:hAnsi="Arial" w:cs="Arial"/>
          <w:color w:val="010000"/>
          <w:sz w:val="20"/>
          <w:szCs w:val="20"/>
        </w:rPr>
        <w:t>General Mandate No. 05/NQ-DHDCD as follows:</w:t>
      </w:r>
    </w:p>
    <w:p w14:paraId="13668A1A"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Article 1: The Annual General Meeting of Shareholders 2024 of 120 Mechanical Joint Stock Company has voted to approve the following General Mandates:</w:t>
      </w:r>
    </w:p>
    <w:p w14:paraId="5FCCD0E0"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 xml:space="preserve">General Mandate 1. The General Meeting of Shareholders approves the </w:t>
      </w:r>
      <w:r w:rsidR="006F7DDD" w:rsidRPr="0040218B">
        <w:rPr>
          <w:rFonts w:ascii="Arial" w:hAnsi="Arial" w:cs="Arial"/>
          <w:color w:val="010000"/>
          <w:sz w:val="20"/>
          <w:szCs w:val="20"/>
        </w:rPr>
        <w:t>R</w:t>
      </w:r>
      <w:r w:rsidRPr="0040218B">
        <w:rPr>
          <w:rFonts w:ascii="Arial" w:hAnsi="Arial" w:cs="Arial"/>
          <w:color w:val="010000"/>
          <w:sz w:val="20"/>
          <w:szCs w:val="20"/>
        </w:rPr>
        <w:t xml:space="preserve">eport of the Board of Directors on governance work and production and business activities results in 2023 - production and business activities plan for 2024. </w:t>
      </w:r>
    </w:p>
    <w:p w14:paraId="4F75FB83" w14:textId="2AEA6C36"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 xml:space="preserve">General Mandate 2. The General Meeting of Shareholders approves the </w:t>
      </w:r>
      <w:r w:rsidR="006F7DDD" w:rsidRPr="0040218B">
        <w:rPr>
          <w:rFonts w:ascii="Arial" w:hAnsi="Arial" w:cs="Arial"/>
          <w:color w:val="010000"/>
          <w:sz w:val="20"/>
          <w:szCs w:val="20"/>
        </w:rPr>
        <w:t>R</w:t>
      </w:r>
      <w:r w:rsidRPr="0040218B">
        <w:rPr>
          <w:rFonts w:ascii="Arial" w:hAnsi="Arial" w:cs="Arial"/>
          <w:color w:val="010000"/>
          <w:sz w:val="20"/>
          <w:szCs w:val="20"/>
        </w:rPr>
        <w:t xml:space="preserve">eport of the Board of Management on production and business activities results in 2023 and </w:t>
      </w:r>
      <w:r w:rsidR="0040218B">
        <w:rPr>
          <w:rFonts w:ascii="Arial" w:hAnsi="Arial" w:cs="Arial"/>
          <w:color w:val="010000"/>
          <w:sz w:val="20"/>
          <w:szCs w:val="20"/>
        </w:rPr>
        <w:t xml:space="preserve">the </w:t>
      </w:r>
      <w:r w:rsidRPr="0040218B">
        <w:rPr>
          <w:rFonts w:ascii="Arial" w:hAnsi="Arial" w:cs="Arial"/>
          <w:color w:val="010000"/>
          <w:sz w:val="20"/>
          <w:szCs w:val="20"/>
        </w:rPr>
        <w:t>production and business activities plan for 2024. Specific targets:</w:t>
      </w:r>
    </w:p>
    <w:p w14:paraId="7C3EBE22" w14:textId="77777777" w:rsidR="00967E9C" w:rsidRPr="0040218B" w:rsidRDefault="008F3D57" w:rsidP="0040218B">
      <w:pPr>
        <w:numPr>
          <w:ilvl w:val="0"/>
          <w:numId w:val="4"/>
        </w:numPr>
        <w:pBdr>
          <w:top w:val="nil"/>
          <w:left w:val="nil"/>
          <w:bottom w:val="nil"/>
          <w:right w:val="nil"/>
          <w:between w:val="nil"/>
        </w:pBdr>
        <w:tabs>
          <w:tab w:val="left" w:pos="432"/>
          <w:tab w:val="left" w:pos="540"/>
          <w:tab w:val="left" w:pos="630"/>
          <w:tab w:val="left" w:pos="2071"/>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Production and business activities plan in 2023:</w:t>
      </w:r>
    </w:p>
    <w:tbl>
      <w:tblPr>
        <w:tblStyle w:val="a"/>
        <w:tblW w:w="5000" w:type="pct"/>
        <w:tblLook w:val="0000" w:firstRow="0" w:lastRow="0" w:firstColumn="0" w:lastColumn="0" w:noHBand="0" w:noVBand="0"/>
      </w:tblPr>
      <w:tblGrid>
        <w:gridCol w:w="452"/>
        <w:gridCol w:w="1944"/>
        <w:gridCol w:w="911"/>
        <w:gridCol w:w="1068"/>
        <w:gridCol w:w="1068"/>
        <w:gridCol w:w="925"/>
        <w:gridCol w:w="1479"/>
        <w:gridCol w:w="1170"/>
      </w:tblGrid>
      <w:tr w:rsidR="008F3D57" w:rsidRPr="0040218B" w14:paraId="06039897" w14:textId="77777777" w:rsidTr="006E4E9E">
        <w:tc>
          <w:tcPr>
            <w:tcW w:w="251" w:type="pct"/>
            <w:vMerge w:val="restart"/>
            <w:tcBorders>
              <w:top w:val="single" w:sz="4" w:space="0" w:color="000000"/>
              <w:left w:val="single" w:sz="4" w:space="0" w:color="000000"/>
            </w:tcBorders>
            <w:shd w:val="clear" w:color="auto" w:fill="auto"/>
            <w:tcMar>
              <w:top w:w="0" w:type="dxa"/>
              <w:bottom w:w="0" w:type="dxa"/>
            </w:tcMar>
            <w:vAlign w:val="center"/>
          </w:tcPr>
          <w:p w14:paraId="0E110DA0"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No.</w:t>
            </w:r>
          </w:p>
        </w:tc>
        <w:tc>
          <w:tcPr>
            <w:tcW w:w="1078" w:type="pct"/>
            <w:vMerge w:val="restart"/>
            <w:tcBorders>
              <w:top w:val="single" w:sz="4" w:space="0" w:color="000000"/>
              <w:left w:val="single" w:sz="4" w:space="0" w:color="000000"/>
            </w:tcBorders>
            <w:shd w:val="clear" w:color="auto" w:fill="auto"/>
            <w:tcMar>
              <w:top w:w="0" w:type="dxa"/>
              <w:bottom w:w="0" w:type="dxa"/>
            </w:tcMar>
            <w:vAlign w:val="center"/>
          </w:tcPr>
          <w:p w14:paraId="3F445C90"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Targets</w:t>
            </w:r>
          </w:p>
        </w:tc>
        <w:tc>
          <w:tcPr>
            <w:tcW w:w="505" w:type="pct"/>
            <w:vMerge w:val="restart"/>
            <w:tcBorders>
              <w:top w:val="single" w:sz="4" w:space="0" w:color="000000"/>
              <w:left w:val="single" w:sz="4" w:space="0" w:color="000000"/>
            </w:tcBorders>
            <w:shd w:val="clear" w:color="auto" w:fill="auto"/>
            <w:tcMar>
              <w:top w:w="0" w:type="dxa"/>
              <w:bottom w:w="0" w:type="dxa"/>
            </w:tcMar>
            <w:vAlign w:val="center"/>
          </w:tcPr>
          <w:p w14:paraId="3C9FC4F3"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Unit</w:t>
            </w:r>
          </w:p>
        </w:tc>
        <w:tc>
          <w:tcPr>
            <w:tcW w:w="592" w:type="pct"/>
            <w:vMerge w:val="restart"/>
            <w:tcBorders>
              <w:top w:val="single" w:sz="4" w:space="0" w:color="000000"/>
              <w:left w:val="single" w:sz="4" w:space="0" w:color="000000"/>
            </w:tcBorders>
            <w:shd w:val="clear" w:color="auto" w:fill="auto"/>
            <w:tcMar>
              <w:top w:w="0" w:type="dxa"/>
              <w:bottom w:w="0" w:type="dxa"/>
            </w:tcMar>
            <w:vAlign w:val="center"/>
          </w:tcPr>
          <w:p w14:paraId="58536070"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Results 2022</w:t>
            </w:r>
          </w:p>
        </w:tc>
        <w:tc>
          <w:tcPr>
            <w:tcW w:w="592" w:type="pct"/>
            <w:vMerge w:val="restart"/>
            <w:tcBorders>
              <w:top w:val="single" w:sz="4" w:space="0" w:color="000000"/>
              <w:left w:val="single" w:sz="4" w:space="0" w:color="000000"/>
            </w:tcBorders>
            <w:shd w:val="clear" w:color="auto" w:fill="auto"/>
            <w:tcMar>
              <w:top w:w="0" w:type="dxa"/>
              <w:bottom w:w="0" w:type="dxa"/>
            </w:tcMar>
            <w:vAlign w:val="center"/>
          </w:tcPr>
          <w:p w14:paraId="11A79171"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Plan 2023</w:t>
            </w:r>
          </w:p>
        </w:tc>
        <w:tc>
          <w:tcPr>
            <w:tcW w:w="513" w:type="pct"/>
            <w:vMerge w:val="restart"/>
            <w:tcBorders>
              <w:top w:val="single" w:sz="4" w:space="0" w:color="000000"/>
              <w:left w:val="single" w:sz="4" w:space="0" w:color="000000"/>
            </w:tcBorders>
            <w:shd w:val="clear" w:color="auto" w:fill="auto"/>
            <w:tcMar>
              <w:top w:w="0" w:type="dxa"/>
              <w:bottom w:w="0" w:type="dxa"/>
            </w:tcMar>
            <w:vAlign w:val="center"/>
          </w:tcPr>
          <w:p w14:paraId="64834CFA"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Results 2023</w:t>
            </w:r>
          </w:p>
        </w:tc>
        <w:tc>
          <w:tcPr>
            <w:tcW w:w="146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2D041D"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Comparison (%)</w:t>
            </w:r>
          </w:p>
        </w:tc>
      </w:tr>
      <w:tr w:rsidR="008F3D57" w:rsidRPr="0040218B" w14:paraId="50D49A13" w14:textId="77777777" w:rsidTr="006E4E9E">
        <w:tc>
          <w:tcPr>
            <w:tcW w:w="251" w:type="pct"/>
            <w:vMerge/>
            <w:tcBorders>
              <w:top w:val="single" w:sz="4" w:space="0" w:color="000000"/>
              <w:left w:val="single" w:sz="4" w:space="0" w:color="000000"/>
            </w:tcBorders>
            <w:shd w:val="clear" w:color="auto" w:fill="auto"/>
            <w:tcMar>
              <w:top w:w="0" w:type="dxa"/>
              <w:bottom w:w="0" w:type="dxa"/>
            </w:tcMar>
            <w:vAlign w:val="center"/>
          </w:tcPr>
          <w:p w14:paraId="53019A58" w14:textId="77777777" w:rsidR="00967E9C" w:rsidRPr="0040218B" w:rsidRDefault="00967E9C" w:rsidP="0040218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078" w:type="pct"/>
            <w:vMerge/>
            <w:tcBorders>
              <w:top w:val="single" w:sz="4" w:space="0" w:color="000000"/>
              <w:left w:val="single" w:sz="4" w:space="0" w:color="000000"/>
            </w:tcBorders>
            <w:shd w:val="clear" w:color="auto" w:fill="auto"/>
            <w:tcMar>
              <w:top w:w="0" w:type="dxa"/>
              <w:bottom w:w="0" w:type="dxa"/>
            </w:tcMar>
            <w:vAlign w:val="center"/>
          </w:tcPr>
          <w:p w14:paraId="7F8AF25D" w14:textId="77777777" w:rsidR="00967E9C" w:rsidRPr="0040218B" w:rsidRDefault="00967E9C" w:rsidP="0040218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05" w:type="pct"/>
            <w:vMerge/>
            <w:tcBorders>
              <w:top w:val="single" w:sz="4" w:space="0" w:color="000000"/>
              <w:left w:val="single" w:sz="4" w:space="0" w:color="000000"/>
            </w:tcBorders>
            <w:shd w:val="clear" w:color="auto" w:fill="auto"/>
            <w:tcMar>
              <w:top w:w="0" w:type="dxa"/>
              <w:bottom w:w="0" w:type="dxa"/>
            </w:tcMar>
            <w:vAlign w:val="center"/>
          </w:tcPr>
          <w:p w14:paraId="1080D62B" w14:textId="77777777" w:rsidR="00967E9C" w:rsidRPr="0040218B" w:rsidRDefault="00967E9C" w:rsidP="0040218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2" w:type="pct"/>
            <w:vMerge/>
            <w:tcBorders>
              <w:top w:val="single" w:sz="4" w:space="0" w:color="000000"/>
              <w:left w:val="single" w:sz="4" w:space="0" w:color="000000"/>
            </w:tcBorders>
            <w:shd w:val="clear" w:color="auto" w:fill="auto"/>
            <w:tcMar>
              <w:top w:w="0" w:type="dxa"/>
              <w:bottom w:w="0" w:type="dxa"/>
            </w:tcMar>
            <w:vAlign w:val="center"/>
          </w:tcPr>
          <w:p w14:paraId="39A4F72E" w14:textId="77777777" w:rsidR="00967E9C" w:rsidRPr="0040218B" w:rsidRDefault="00967E9C" w:rsidP="0040218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2" w:type="pct"/>
            <w:vMerge/>
            <w:tcBorders>
              <w:top w:val="single" w:sz="4" w:space="0" w:color="000000"/>
              <w:left w:val="single" w:sz="4" w:space="0" w:color="000000"/>
            </w:tcBorders>
            <w:shd w:val="clear" w:color="auto" w:fill="auto"/>
            <w:tcMar>
              <w:top w:w="0" w:type="dxa"/>
              <w:bottom w:w="0" w:type="dxa"/>
            </w:tcMar>
            <w:vAlign w:val="center"/>
          </w:tcPr>
          <w:p w14:paraId="08AB6519" w14:textId="77777777" w:rsidR="00967E9C" w:rsidRPr="0040218B" w:rsidRDefault="00967E9C" w:rsidP="0040218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13" w:type="pct"/>
            <w:vMerge/>
            <w:tcBorders>
              <w:top w:val="single" w:sz="4" w:space="0" w:color="000000"/>
              <w:left w:val="single" w:sz="4" w:space="0" w:color="000000"/>
            </w:tcBorders>
            <w:shd w:val="clear" w:color="auto" w:fill="auto"/>
            <w:tcMar>
              <w:top w:w="0" w:type="dxa"/>
              <w:bottom w:w="0" w:type="dxa"/>
            </w:tcMar>
            <w:vAlign w:val="center"/>
          </w:tcPr>
          <w:p w14:paraId="32522B34" w14:textId="77777777" w:rsidR="00967E9C" w:rsidRPr="0040218B" w:rsidRDefault="00967E9C" w:rsidP="0040218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820" w:type="pct"/>
            <w:tcBorders>
              <w:top w:val="single" w:sz="4" w:space="0" w:color="000000"/>
              <w:left w:val="single" w:sz="4" w:space="0" w:color="000000"/>
            </w:tcBorders>
            <w:shd w:val="clear" w:color="auto" w:fill="auto"/>
            <w:tcMar>
              <w:top w:w="0" w:type="dxa"/>
              <w:bottom w:w="0" w:type="dxa"/>
            </w:tcMar>
            <w:vAlign w:val="center"/>
          </w:tcPr>
          <w:p w14:paraId="1550296F"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Results 2023/Results 2022</w:t>
            </w:r>
          </w:p>
        </w:tc>
        <w:tc>
          <w:tcPr>
            <w:tcW w:w="6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523C00"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Results/Plan 2023</w:t>
            </w:r>
          </w:p>
        </w:tc>
      </w:tr>
      <w:tr w:rsidR="008F3D57" w:rsidRPr="0040218B" w14:paraId="4B1B902B" w14:textId="77777777" w:rsidTr="006E4E9E">
        <w:tc>
          <w:tcPr>
            <w:tcW w:w="251" w:type="pct"/>
            <w:tcBorders>
              <w:top w:val="single" w:sz="4" w:space="0" w:color="000000"/>
              <w:left w:val="single" w:sz="4" w:space="0" w:color="000000"/>
            </w:tcBorders>
            <w:shd w:val="clear" w:color="auto" w:fill="auto"/>
            <w:tcMar>
              <w:top w:w="0" w:type="dxa"/>
              <w:bottom w:w="0" w:type="dxa"/>
            </w:tcMar>
            <w:vAlign w:val="center"/>
          </w:tcPr>
          <w:p w14:paraId="0727AF16"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w:t>
            </w:r>
          </w:p>
        </w:tc>
        <w:tc>
          <w:tcPr>
            <w:tcW w:w="1078" w:type="pct"/>
            <w:tcBorders>
              <w:top w:val="single" w:sz="4" w:space="0" w:color="000000"/>
              <w:left w:val="single" w:sz="4" w:space="0" w:color="000000"/>
            </w:tcBorders>
            <w:shd w:val="clear" w:color="auto" w:fill="auto"/>
            <w:tcMar>
              <w:top w:w="0" w:type="dxa"/>
              <w:bottom w:w="0" w:type="dxa"/>
            </w:tcMar>
            <w:vAlign w:val="center"/>
          </w:tcPr>
          <w:p w14:paraId="18748CDA"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Revenue from goods sales and service provision</w:t>
            </w:r>
          </w:p>
        </w:tc>
        <w:tc>
          <w:tcPr>
            <w:tcW w:w="505" w:type="pct"/>
            <w:tcBorders>
              <w:top w:val="single" w:sz="4" w:space="0" w:color="000000"/>
              <w:left w:val="single" w:sz="4" w:space="0" w:color="000000"/>
            </w:tcBorders>
            <w:shd w:val="clear" w:color="auto" w:fill="auto"/>
            <w:tcMar>
              <w:top w:w="0" w:type="dxa"/>
              <w:bottom w:w="0" w:type="dxa"/>
            </w:tcMar>
            <w:vAlign w:val="center"/>
          </w:tcPr>
          <w:p w14:paraId="4A4C40F7"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592" w:type="pct"/>
            <w:tcBorders>
              <w:top w:val="single" w:sz="4" w:space="0" w:color="000000"/>
              <w:left w:val="single" w:sz="4" w:space="0" w:color="000000"/>
            </w:tcBorders>
            <w:shd w:val="clear" w:color="auto" w:fill="auto"/>
            <w:tcMar>
              <w:top w:w="0" w:type="dxa"/>
              <w:bottom w:w="0" w:type="dxa"/>
            </w:tcMar>
            <w:vAlign w:val="center"/>
          </w:tcPr>
          <w:p w14:paraId="6A651F4A"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10,698</w:t>
            </w:r>
          </w:p>
        </w:tc>
        <w:tc>
          <w:tcPr>
            <w:tcW w:w="592" w:type="pct"/>
            <w:tcBorders>
              <w:top w:val="single" w:sz="4" w:space="0" w:color="000000"/>
              <w:left w:val="single" w:sz="4" w:space="0" w:color="000000"/>
            </w:tcBorders>
            <w:shd w:val="clear" w:color="auto" w:fill="auto"/>
            <w:tcMar>
              <w:top w:w="0" w:type="dxa"/>
              <w:bottom w:w="0" w:type="dxa"/>
            </w:tcMar>
            <w:vAlign w:val="center"/>
          </w:tcPr>
          <w:p w14:paraId="446E58BD"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10,991</w:t>
            </w:r>
          </w:p>
        </w:tc>
        <w:tc>
          <w:tcPr>
            <w:tcW w:w="513" w:type="pct"/>
            <w:tcBorders>
              <w:top w:val="single" w:sz="4" w:space="0" w:color="000000"/>
              <w:left w:val="single" w:sz="4" w:space="0" w:color="000000"/>
            </w:tcBorders>
            <w:shd w:val="clear" w:color="auto" w:fill="auto"/>
            <w:tcMar>
              <w:top w:w="0" w:type="dxa"/>
              <w:bottom w:w="0" w:type="dxa"/>
            </w:tcMar>
            <w:vAlign w:val="center"/>
          </w:tcPr>
          <w:p w14:paraId="584F11FE"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11,113</w:t>
            </w:r>
          </w:p>
        </w:tc>
        <w:tc>
          <w:tcPr>
            <w:tcW w:w="820" w:type="pct"/>
            <w:tcBorders>
              <w:top w:val="single" w:sz="4" w:space="0" w:color="000000"/>
              <w:left w:val="single" w:sz="4" w:space="0" w:color="000000"/>
            </w:tcBorders>
            <w:shd w:val="clear" w:color="auto" w:fill="auto"/>
            <w:tcMar>
              <w:top w:w="0" w:type="dxa"/>
              <w:bottom w:w="0" w:type="dxa"/>
            </w:tcMar>
            <w:vAlign w:val="center"/>
          </w:tcPr>
          <w:p w14:paraId="6C72141D"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104%</w:t>
            </w:r>
          </w:p>
        </w:tc>
        <w:tc>
          <w:tcPr>
            <w:tcW w:w="6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7A8A61"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101%</w:t>
            </w:r>
          </w:p>
        </w:tc>
      </w:tr>
      <w:tr w:rsidR="008F3D57" w:rsidRPr="0040218B" w14:paraId="7606CBE8" w14:textId="77777777" w:rsidTr="006E4E9E">
        <w:tc>
          <w:tcPr>
            <w:tcW w:w="251" w:type="pct"/>
            <w:tcBorders>
              <w:top w:val="single" w:sz="4" w:space="0" w:color="000000"/>
              <w:left w:val="single" w:sz="4" w:space="0" w:color="000000"/>
            </w:tcBorders>
            <w:shd w:val="clear" w:color="auto" w:fill="auto"/>
            <w:tcMar>
              <w:top w:w="0" w:type="dxa"/>
              <w:bottom w:w="0" w:type="dxa"/>
            </w:tcMar>
            <w:vAlign w:val="center"/>
          </w:tcPr>
          <w:p w14:paraId="7B768EDE"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w:t>
            </w:r>
          </w:p>
        </w:tc>
        <w:tc>
          <w:tcPr>
            <w:tcW w:w="1078" w:type="pct"/>
            <w:tcBorders>
              <w:top w:val="single" w:sz="4" w:space="0" w:color="000000"/>
              <w:left w:val="single" w:sz="4" w:space="0" w:color="000000"/>
            </w:tcBorders>
            <w:shd w:val="clear" w:color="auto" w:fill="auto"/>
            <w:tcMar>
              <w:top w:w="0" w:type="dxa"/>
              <w:bottom w:w="0" w:type="dxa"/>
            </w:tcMar>
            <w:vAlign w:val="center"/>
          </w:tcPr>
          <w:p w14:paraId="0E53E545"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Profit before tax</w:t>
            </w:r>
          </w:p>
        </w:tc>
        <w:tc>
          <w:tcPr>
            <w:tcW w:w="505" w:type="pct"/>
            <w:tcBorders>
              <w:top w:val="single" w:sz="4" w:space="0" w:color="000000"/>
              <w:left w:val="single" w:sz="4" w:space="0" w:color="000000"/>
            </w:tcBorders>
            <w:shd w:val="clear" w:color="auto" w:fill="auto"/>
            <w:tcMar>
              <w:top w:w="0" w:type="dxa"/>
              <w:bottom w:w="0" w:type="dxa"/>
            </w:tcMar>
            <w:vAlign w:val="center"/>
          </w:tcPr>
          <w:p w14:paraId="438F3D0A"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592" w:type="pct"/>
            <w:tcBorders>
              <w:top w:val="single" w:sz="4" w:space="0" w:color="000000"/>
              <w:left w:val="single" w:sz="4" w:space="0" w:color="000000"/>
            </w:tcBorders>
            <w:shd w:val="clear" w:color="auto" w:fill="auto"/>
            <w:tcMar>
              <w:top w:w="0" w:type="dxa"/>
              <w:bottom w:w="0" w:type="dxa"/>
            </w:tcMar>
            <w:vAlign w:val="center"/>
          </w:tcPr>
          <w:p w14:paraId="6925929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1,731</w:t>
            </w:r>
          </w:p>
        </w:tc>
        <w:tc>
          <w:tcPr>
            <w:tcW w:w="592" w:type="pct"/>
            <w:tcBorders>
              <w:top w:val="single" w:sz="4" w:space="0" w:color="000000"/>
              <w:left w:val="single" w:sz="4" w:space="0" w:color="000000"/>
            </w:tcBorders>
            <w:shd w:val="clear" w:color="auto" w:fill="auto"/>
            <w:tcMar>
              <w:top w:w="0" w:type="dxa"/>
              <w:bottom w:w="0" w:type="dxa"/>
            </w:tcMar>
            <w:vAlign w:val="center"/>
          </w:tcPr>
          <w:p w14:paraId="617531D2"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2,208</w:t>
            </w:r>
          </w:p>
        </w:tc>
        <w:tc>
          <w:tcPr>
            <w:tcW w:w="513" w:type="pct"/>
            <w:tcBorders>
              <w:top w:val="single" w:sz="4" w:space="0" w:color="000000"/>
              <w:left w:val="single" w:sz="4" w:space="0" w:color="000000"/>
            </w:tcBorders>
            <w:shd w:val="clear" w:color="auto" w:fill="auto"/>
            <w:tcMar>
              <w:top w:w="0" w:type="dxa"/>
              <w:bottom w:w="0" w:type="dxa"/>
            </w:tcMar>
            <w:vAlign w:val="center"/>
          </w:tcPr>
          <w:p w14:paraId="6805415E"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2,698</w:t>
            </w:r>
          </w:p>
        </w:tc>
        <w:tc>
          <w:tcPr>
            <w:tcW w:w="820" w:type="pct"/>
            <w:tcBorders>
              <w:top w:val="single" w:sz="4" w:space="0" w:color="000000"/>
              <w:left w:val="single" w:sz="4" w:space="0" w:color="000000"/>
            </w:tcBorders>
            <w:shd w:val="clear" w:color="auto" w:fill="auto"/>
            <w:tcMar>
              <w:top w:w="0" w:type="dxa"/>
              <w:bottom w:w="0" w:type="dxa"/>
            </w:tcMar>
            <w:vAlign w:val="center"/>
          </w:tcPr>
          <w:p w14:paraId="2CA9AB8F"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156%</w:t>
            </w:r>
          </w:p>
        </w:tc>
        <w:tc>
          <w:tcPr>
            <w:tcW w:w="6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2762D2"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122%</w:t>
            </w:r>
          </w:p>
        </w:tc>
      </w:tr>
      <w:tr w:rsidR="008F3D57" w:rsidRPr="0040218B" w14:paraId="42C184AB" w14:textId="77777777" w:rsidTr="006E4E9E">
        <w:tc>
          <w:tcPr>
            <w:tcW w:w="251" w:type="pct"/>
            <w:tcBorders>
              <w:top w:val="single" w:sz="4" w:space="0" w:color="000000"/>
              <w:left w:val="single" w:sz="4" w:space="0" w:color="000000"/>
            </w:tcBorders>
            <w:shd w:val="clear" w:color="auto" w:fill="auto"/>
            <w:tcMar>
              <w:top w:w="0" w:type="dxa"/>
              <w:bottom w:w="0" w:type="dxa"/>
            </w:tcMar>
            <w:vAlign w:val="center"/>
          </w:tcPr>
          <w:p w14:paraId="7DC9774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3</w:t>
            </w:r>
          </w:p>
        </w:tc>
        <w:tc>
          <w:tcPr>
            <w:tcW w:w="1078" w:type="pct"/>
            <w:tcBorders>
              <w:top w:val="single" w:sz="4" w:space="0" w:color="000000"/>
              <w:left w:val="single" w:sz="4" w:space="0" w:color="000000"/>
            </w:tcBorders>
            <w:shd w:val="clear" w:color="auto" w:fill="auto"/>
            <w:tcMar>
              <w:top w:w="0" w:type="dxa"/>
              <w:bottom w:w="0" w:type="dxa"/>
            </w:tcMar>
            <w:vAlign w:val="center"/>
          </w:tcPr>
          <w:p w14:paraId="34F172CD"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Payable to the state budget</w:t>
            </w:r>
          </w:p>
        </w:tc>
        <w:tc>
          <w:tcPr>
            <w:tcW w:w="505" w:type="pct"/>
            <w:tcBorders>
              <w:top w:val="single" w:sz="4" w:space="0" w:color="000000"/>
              <w:left w:val="single" w:sz="4" w:space="0" w:color="000000"/>
            </w:tcBorders>
            <w:shd w:val="clear" w:color="auto" w:fill="auto"/>
            <w:tcMar>
              <w:top w:w="0" w:type="dxa"/>
              <w:bottom w:w="0" w:type="dxa"/>
            </w:tcMar>
            <w:vAlign w:val="center"/>
          </w:tcPr>
          <w:p w14:paraId="2DCDE922"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592" w:type="pct"/>
            <w:tcBorders>
              <w:top w:val="single" w:sz="4" w:space="0" w:color="000000"/>
              <w:left w:val="single" w:sz="4" w:space="0" w:color="000000"/>
            </w:tcBorders>
            <w:shd w:val="clear" w:color="auto" w:fill="auto"/>
            <w:tcMar>
              <w:top w:w="0" w:type="dxa"/>
              <w:bottom w:w="0" w:type="dxa"/>
            </w:tcMar>
            <w:vAlign w:val="center"/>
          </w:tcPr>
          <w:p w14:paraId="4F757BD7"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2,376</w:t>
            </w:r>
          </w:p>
        </w:tc>
        <w:tc>
          <w:tcPr>
            <w:tcW w:w="592" w:type="pct"/>
            <w:tcBorders>
              <w:top w:val="single" w:sz="4" w:space="0" w:color="000000"/>
              <w:left w:val="single" w:sz="4" w:space="0" w:color="000000"/>
            </w:tcBorders>
            <w:shd w:val="clear" w:color="auto" w:fill="auto"/>
            <w:tcMar>
              <w:top w:w="0" w:type="dxa"/>
              <w:bottom w:w="0" w:type="dxa"/>
            </w:tcMar>
            <w:vAlign w:val="center"/>
          </w:tcPr>
          <w:p w14:paraId="691CD3AD"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2,406</w:t>
            </w:r>
          </w:p>
        </w:tc>
        <w:tc>
          <w:tcPr>
            <w:tcW w:w="513" w:type="pct"/>
            <w:tcBorders>
              <w:top w:val="single" w:sz="4" w:space="0" w:color="000000"/>
              <w:left w:val="single" w:sz="4" w:space="0" w:color="000000"/>
            </w:tcBorders>
            <w:shd w:val="clear" w:color="auto" w:fill="auto"/>
            <w:tcMar>
              <w:top w:w="0" w:type="dxa"/>
              <w:bottom w:w="0" w:type="dxa"/>
            </w:tcMar>
            <w:vAlign w:val="center"/>
          </w:tcPr>
          <w:p w14:paraId="11F17542"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2,680</w:t>
            </w:r>
          </w:p>
        </w:tc>
        <w:tc>
          <w:tcPr>
            <w:tcW w:w="820" w:type="pct"/>
            <w:tcBorders>
              <w:top w:val="single" w:sz="4" w:space="0" w:color="000000"/>
              <w:left w:val="single" w:sz="4" w:space="0" w:color="000000"/>
            </w:tcBorders>
            <w:shd w:val="clear" w:color="auto" w:fill="auto"/>
            <w:tcMar>
              <w:top w:w="0" w:type="dxa"/>
              <w:bottom w:w="0" w:type="dxa"/>
            </w:tcMar>
            <w:vAlign w:val="center"/>
          </w:tcPr>
          <w:p w14:paraId="772C1D8B"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113%</w:t>
            </w:r>
          </w:p>
        </w:tc>
        <w:tc>
          <w:tcPr>
            <w:tcW w:w="64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76630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111%</w:t>
            </w:r>
          </w:p>
        </w:tc>
      </w:tr>
      <w:tr w:rsidR="008F3D57" w:rsidRPr="0040218B" w14:paraId="49211358" w14:textId="77777777" w:rsidTr="006E4E9E">
        <w:tc>
          <w:tcPr>
            <w:tcW w:w="2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0B6379"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4</w:t>
            </w:r>
          </w:p>
        </w:tc>
        <w:tc>
          <w:tcPr>
            <w:tcW w:w="10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3DA2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Average income/person/month</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04985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5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54B519"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7.6</w:t>
            </w:r>
          </w:p>
        </w:tc>
        <w:tc>
          <w:tcPr>
            <w:tcW w:w="5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B426C0"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7.8</w:t>
            </w:r>
          </w:p>
        </w:tc>
        <w:tc>
          <w:tcPr>
            <w:tcW w:w="5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3F3CBC"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7.67</w:t>
            </w:r>
          </w:p>
        </w:tc>
        <w:tc>
          <w:tcPr>
            <w:tcW w:w="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09DFD9"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101%</w:t>
            </w:r>
          </w:p>
        </w:tc>
        <w:tc>
          <w:tcPr>
            <w:tcW w:w="6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DD62B8"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98%</w:t>
            </w:r>
          </w:p>
        </w:tc>
      </w:tr>
    </w:tbl>
    <w:p w14:paraId="14F00365" w14:textId="77777777" w:rsidR="00967E9C" w:rsidRPr="0040218B" w:rsidRDefault="008F3D57" w:rsidP="0040218B">
      <w:pPr>
        <w:numPr>
          <w:ilvl w:val="0"/>
          <w:numId w:val="4"/>
        </w:num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9"/>
        <w:gridCol w:w="3196"/>
        <w:gridCol w:w="1291"/>
        <w:gridCol w:w="1307"/>
        <w:gridCol w:w="1225"/>
        <w:gridCol w:w="1279"/>
      </w:tblGrid>
      <w:tr w:rsidR="00967E9C" w:rsidRPr="0040218B" w14:paraId="629E5450" w14:textId="77777777" w:rsidTr="006E4E9E">
        <w:tc>
          <w:tcPr>
            <w:tcW w:w="399" w:type="pct"/>
            <w:shd w:val="clear" w:color="auto" w:fill="auto"/>
            <w:tcMar>
              <w:top w:w="0" w:type="dxa"/>
              <w:bottom w:w="0" w:type="dxa"/>
            </w:tcMar>
            <w:vAlign w:val="center"/>
          </w:tcPr>
          <w:p w14:paraId="56BEE6CC"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No.</w:t>
            </w:r>
          </w:p>
        </w:tc>
        <w:tc>
          <w:tcPr>
            <w:tcW w:w="1772" w:type="pct"/>
            <w:shd w:val="clear" w:color="auto" w:fill="auto"/>
            <w:tcMar>
              <w:top w:w="0" w:type="dxa"/>
              <w:bottom w:w="0" w:type="dxa"/>
            </w:tcMar>
            <w:vAlign w:val="center"/>
          </w:tcPr>
          <w:p w14:paraId="74A90748"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Targets</w:t>
            </w:r>
          </w:p>
        </w:tc>
        <w:tc>
          <w:tcPr>
            <w:tcW w:w="716" w:type="pct"/>
            <w:shd w:val="clear" w:color="auto" w:fill="auto"/>
            <w:tcMar>
              <w:top w:w="0" w:type="dxa"/>
              <w:bottom w:w="0" w:type="dxa"/>
            </w:tcMar>
            <w:vAlign w:val="center"/>
          </w:tcPr>
          <w:p w14:paraId="138959EF"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Unit</w:t>
            </w:r>
          </w:p>
        </w:tc>
        <w:tc>
          <w:tcPr>
            <w:tcW w:w="725" w:type="pct"/>
            <w:shd w:val="clear" w:color="auto" w:fill="auto"/>
            <w:tcMar>
              <w:top w:w="0" w:type="dxa"/>
              <w:bottom w:w="0" w:type="dxa"/>
            </w:tcMar>
            <w:vAlign w:val="center"/>
          </w:tcPr>
          <w:p w14:paraId="174BD435"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Results 2023</w:t>
            </w:r>
          </w:p>
        </w:tc>
        <w:tc>
          <w:tcPr>
            <w:tcW w:w="679" w:type="pct"/>
            <w:shd w:val="clear" w:color="auto" w:fill="auto"/>
            <w:tcMar>
              <w:top w:w="0" w:type="dxa"/>
              <w:bottom w:w="0" w:type="dxa"/>
            </w:tcMar>
            <w:vAlign w:val="center"/>
          </w:tcPr>
          <w:p w14:paraId="5318B970"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Plan 2024</w:t>
            </w:r>
          </w:p>
        </w:tc>
        <w:tc>
          <w:tcPr>
            <w:tcW w:w="709" w:type="pct"/>
            <w:shd w:val="clear" w:color="auto" w:fill="auto"/>
            <w:tcMar>
              <w:top w:w="0" w:type="dxa"/>
              <w:bottom w:w="0" w:type="dxa"/>
            </w:tcMar>
            <w:vAlign w:val="center"/>
          </w:tcPr>
          <w:p w14:paraId="768EE2C3"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Rate (%)</w:t>
            </w:r>
          </w:p>
        </w:tc>
      </w:tr>
      <w:tr w:rsidR="00967E9C" w:rsidRPr="0040218B" w14:paraId="1E598CBE" w14:textId="77777777" w:rsidTr="006E4E9E">
        <w:tc>
          <w:tcPr>
            <w:tcW w:w="399" w:type="pct"/>
            <w:shd w:val="clear" w:color="auto" w:fill="auto"/>
            <w:tcMar>
              <w:top w:w="0" w:type="dxa"/>
              <w:bottom w:w="0" w:type="dxa"/>
            </w:tcMar>
            <w:vAlign w:val="center"/>
          </w:tcPr>
          <w:p w14:paraId="6F157C78"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w:t>
            </w:r>
          </w:p>
        </w:tc>
        <w:tc>
          <w:tcPr>
            <w:tcW w:w="1772" w:type="pct"/>
            <w:shd w:val="clear" w:color="auto" w:fill="auto"/>
            <w:tcMar>
              <w:top w:w="0" w:type="dxa"/>
              <w:bottom w:w="0" w:type="dxa"/>
            </w:tcMar>
            <w:vAlign w:val="center"/>
          </w:tcPr>
          <w:p w14:paraId="2654E7A7"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Revenue from goods sales and service provision</w:t>
            </w:r>
          </w:p>
        </w:tc>
        <w:tc>
          <w:tcPr>
            <w:tcW w:w="716" w:type="pct"/>
            <w:shd w:val="clear" w:color="auto" w:fill="auto"/>
            <w:tcMar>
              <w:top w:w="0" w:type="dxa"/>
              <w:bottom w:w="0" w:type="dxa"/>
            </w:tcMar>
            <w:vAlign w:val="center"/>
          </w:tcPr>
          <w:p w14:paraId="2247C66A"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725" w:type="pct"/>
            <w:shd w:val="clear" w:color="auto" w:fill="auto"/>
            <w:tcMar>
              <w:top w:w="0" w:type="dxa"/>
              <w:bottom w:w="0" w:type="dxa"/>
            </w:tcMar>
            <w:vAlign w:val="center"/>
          </w:tcPr>
          <w:p w14:paraId="369394B2"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11,113</w:t>
            </w:r>
          </w:p>
        </w:tc>
        <w:tc>
          <w:tcPr>
            <w:tcW w:w="679" w:type="pct"/>
            <w:shd w:val="clear" w:color="auto" w:fill="auto"/>
            <w:tcMar>
              <w:top w:w="0" w:type="dxa"/>
              <w:bottom w:w="0" w:type="dxa"/>
            </w:tcMar>
            <w:vAlign w:val="center"/>
          </w:tcPr>
          <w:p w14:paraId="56BC2F61"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11,333</w:t>
            </w:r>
          </w:p>
        </w:tc>
        <w:tc>
          <w:tcPr>
            <w:tcW w:w="709" w:type="pct"/>
            <w:shd w:val="clear" w:color="auto" w:fill="auto"/>
            <w:tcMar>
              <w:top w:w="0" w:type="dxa"/>
              <w:bottom w:w="0" w:type="dxa"/>
            </w:tcMar>
            <w:vAlign w:val="center"/>
          </w:tcPr>
          <w:p w14:paraId="0C72775B"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102%</w:t>
            </w:r>
          </w:p>
        </w:tc>
      </w:tr>
      <w:tr w:rsidR="00967E9C" w:rsidRPr="0040218B" w14:paraId="64FABB07" w14:textId="77777777" w:rsidTr="006E4E9E">
        <w:tc>
          <w:tcPr>
            <w:tcW w:w="399" w:type="pct"/>
            <w:shd w:val="clear" w:color="auto" w:fill="auto"/>
            <w:tcMar>
              <w:top w:w="0" w:type="dxa"/>
              <w:bottom w:w="0" w:type="dxa"/>
            </w:tcMar>
            <w:vAlign w:val="center"/>
          </w:tcPr>
          <w:p w14:paraId="6C790EB7"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w:t>
            </w:r>
          </w:p>
        </w:tc>
        <w:tc>
          <w:tcPr>
            <w:tcW w:w="1772" w:type="pct"/>
            <w:shd w:val="clear" w:color="auto" w:fill="auto"/>
            <w:tcMar>
              <w:top w:w="0" w:type="dxa"/>
              <w:bottom w:w="0" w:type="dxa"/>
            </w:tcMar>
            <w:vAlign w:val="center"/>
          </w:tcPr>
          <w:p w14:paraId="7B367D6F"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Profit before tax</w:t>
            </w:r>
          </w:p>
        </w:tc>
        <w:tc>
          <w:tcPr>
            <w:tcW w:w="716" w:type="pct"/>
            <w:shd w:val="clear" w:color="auto" w:fill="auto"/>
            <w:tcMar>
              <w:top w:w="0" w:type="dxa"/>
              <w:bottom w:w="0" w:type="dxa"/>
            </w:tcMar>
            <w:vAlign w:val="center"/>
          </w:tcPr>
          <w:p w14:paraId="74770E5F"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725" w:type="pct"/>
            <w:shd w:val="clear" w:color="auto" w:fill="auto"/>
            <w:tcMar>
              <w:top w:w="0" w:type="dxa"/>
              <w:bottom w:w="0" w:type="dxa"/>
            </w:tcMar>
            <w:vAlign w:val="center"/>
          </w:tcPr>
          <w:p w14:paraId="166F46E1"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2,698</w:t>
            </w:r>
          </w:p>
        </w:tc>
        <w:tc>
          <w:tcPr>
            <w:tcW w:w="679" w:type="pct"/>
            <w:shd w:val="clear" w:color="auto" w:fill="auto"/>
            <w:tcMar>
              <w:top w:w="0" w:type="dxa"/>
              <w:bottom w:w="0" w:type="dxa"/>
            </w:tcMar>
            <w:vAlign w:val="center"/>
          </w:tcPr>
          <w:p w14:paraId="45FEDCA9"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2,717</w:t>
            </w:r>
          </w:p>
        </w:tc>
        <w:tc>
          <w:tcPr>
            <w:tcW w:w="709" w:type="pct"/>
            <w:shd w:val="clear" w:color="auto" w:fill="auto"/>
            <w:tcMar>
              <w:top w:w="0" w:type="dxa"/>
              <w:bottom w:w="0" w:type="dxa"/>
            </w:tcMar>
            <w:vAlign w:val="center"/>
          </w:tcPr>
          <w:p w14:paraId="5D641EB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101%</w:t>
            </w:r>
          </w:p>
        </w:tc>
      </w:tr>
      <w:tr w:rsidR="00967E9C" w:rsidRPr="0040218B" w14:paraId="6CB3CC6E" w14:textId="77777777" w:rsidTr="006E4E9E">
        <w:tc>
          <w:tcPr>
            <w:tcW w:w="399" w:type="pct"/>
            <w:shd w:val="clear" w:color="auto" w:fill="auto"/>
            <w:tcMar>
              <w:top w:w="0" w:type="dxa"/>
              <w:bottom w:w="0" w:type="dxa"/>
            </w:tcMar>
            <w:vAlign w:val="center"/>
          </w:tcPr>
          <w:p w14:paraId="01E5DB01"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3</w:t>
            </w:r>
          </w:p>
        </w:tc>
        <w:tc>
          <w:tcPr>
            <w:tcW w:w="1772" w:type="pct"/>
            <w:shd w:val="clear" w:color="auto" w:fill="auto"/>
            <w:tcMar>
              <w:top w:w="0" w:type="dxa"/>
              <w:bottom w:w="0" w:type="dxa"/>
            </w:tcMar>
            <w:vAlign w:val="center"/>
          </w:tcPr>
          <w:p w14:paraId="6A0F7892"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Payable to the state budget</w:t>
            </w:r>
          </w:p>
        </w:tc>
        <w:tc>
          <w:tcPr>
            <w:tcW w:w="716" w:type="pct"/>
            <w:shd w:val="clear" w:color="auto" w:fill="auto"/>
            <w:tcMar>
              <w:top w:w="0" w:type="dxa"/>
              <w:bottom w:w="0" w:type="dxa"/>
            </w:tcMar>
            <w:vAlign w:val="center"/>
          </w:tcPr>
          <w:p w14:paraId="6E91769E"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725" w:type="pct"/>
            <w:shd w:val="clear" w:color="auto" w:fill="auto"/>
            <w:tcMar>
              <w:top w:w="0" w:type="dxa"/>
              <w:bottom w:w="0" w:type="dxa"/>
            </w:tcMar>
            <w:vAlign w:val="center"/>
          </w:tcPr>
          <w:p w14:paraId="5D808CB9"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2,680</w:t>
            </w:r>
            <w:bookmarkStart w:id="0" w:name="_GoBack"/>
            <w:bookmarkEnd w:id="0"/>
          </w:p>
        </w:tc>
        <w:tc>
          <w:tcPr>
            <w:tcW w:w="679" w:type="pct"/>
            <w:shd w:val="clear" w:color="auto" w:fill="auto"/>
            <w:tcMar>
              <w:top w:w="0" w:type="dxa"/>
              <w:bottom w:w="0" w:type="dxa"/>
            </w:tcMar>
            <w:vAlign w:val="center"/>
          </w:tcPr>
          <w:p w14:paraId="27A382D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3,176</w:t>
            </w:r>
          </w:p>
        </w:tc>
        <w:tc>
          <w:tcPr>
            <w:tcW w:w="709" w:type="pct"/>
            <w:shd w:val="clear" w:color="auto" w:fill="auto"/>
            <w:tcMar>
              <w:top w:w="0" w:type="dxa"/>
              <w:bottom w:w="0" w:type="dxa"/>
            </w:tcMar>
            <w:vAlign w:val="center"/>
          </w:tcPr>
          <w:p w14:paraId="46DECEE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119%</w:t>
            </w:r>
          </w:p>
        </w:tc>
      </w:tr>
      <w:tr w:rsidR="00967E9C" w:rsidRPr="0040218B" w14:paraId="48098B0B" w14:textId="77777777" w:rsidTr="006E4E9E">
        <w:tc>
          <w:tcPr>
            <w:tcW w:w="399" w:type="pct"/>
            <w:shd w:val="clear" w:color="auto" w:fill="auto"/>
            <w:tcMar>
              <w:top w:w="0" w:type="dxa"/>
              <w:bottom w:w="0" w:type="dxa"/>
            </w:tcMar>
            <w:vAlign w:val="center"/>
          </w:tcPr>
          <w:p w14:paraId="48B67C5D"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lastRenderedPageBreak/>
              <w:t>4</w:t>
            </w:r>
          </w:p>
        </w:tc>
        <w:tc>
          <w:tcPr>
            <w:tcW w:w="1772" w:type="pct"/>
            <w:shd w:val="clear" w:color="auto" w:fill="auto"/>
            <w:tcMar>
              <w:top w:w="0" w:type="dxa"/>
              <w:bottom w:w="0" w:type="dxa"/>
            </w:tcMar>
            <w:vAlign w:val="center"/>
          </w:tcPr>
          <w:p w14:paraId="1BCDE4E9"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Average income/person/month</w:t>
            </w:r>
          </w:p>
        </w:tc>
        <w:tc>
          <w:tcPr>
            <w:tcW w:w="716" w:type="pct"/>
            <w:shd w:val="clear" w:color="auto" w:fill="auto"/>
            <w:tcMar>
              <w:top w:w="0" w:type="dxa"/>
              <w:bottom w:w="0" w:type="dxa"/>
            </w:tcMar>
            <w:vAlign w:val="center"/>
          </w:tcPr>
          <w:p w14:paraId="44D3926A"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Thousand VND</w:t>
            </w:r>
          </w:p>
        </w:tc>
        <w:tc>
          <w:tcPr>
            <w:tcW w:w="725" w:type="pct"/>
            <w:shd w:val="clear" w:color="auto" w:fill="auto"/>
            <w:tcMar>
              <w:top w:w="0" w:type="dxa"/>
              <w:bottom w:w="0" w:type="dxa"/>
            </w:tcMar>
            <w:vAlign w:val="center"/>
          </w:tcPr>
          <w:p w14:paraId="03A4C933"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7.67</w:t>
            </w:r>
          </w:p>
        </w:tc>
        <w:tc>
          <w:tcPr>
            <w:tcW w:w="679" w:type="pct"/>
            <w:shd w:val="clear" w:color="auto" w:fill="auto"/>
            <w:tcMar>
              <w:top w:w="0" w:type="dxa"/>
              <w:bottom w:w="0" w:type="dxa"/>
            </w:tcMar>
            <w:vAlign w:val="center"/>
          </w:tcPr>
          <w:p w14:paraId="63C75116"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7.8</w:t>
            </w:r>
          </w:p>
        </w:tc>
        <w:tc>
          <w:tcPr>
            <w:tcW w:w="709" w:type="pct"/>
            <w:shd w:val="clear" w:color="auto" w:fill="auto"/>
            <w:tcMar>
              <w:top w:w="0" w:type="dxa"/>
              <w:bottom w:w="0" w:type="dxa"/>
            </w:tcMar>
            <w:vAlign w:val="center"/>
          </w:tcPr>
          <w:p w14:paraId="707EB598"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center"/>
              <w:rPr>
                <w:rFonts w:ascii="Arial" w:eastAsia="Arial" w:hAnsi="Arial" w:cs="Arial"/>
                <w:color w:val="010000"/>
                <w:sz w:val="20"/>
                <w:szCs w:val="20"/>
              </w:rPr>
            </w:pPr>
            <w:r w:rsidRPr="0040218B">
              <w:rPr>
                <w:rFonts w:ascii="Arial" w:hAnsi="Arial" w:cs="Arial"/>
                <w:color w:val="010000"/>
                <w:sz w:val="20"/>
                <w:szCs w:val="20"/>
              </w:rPr>
              <w:t>102%</w:t>
            </w:r>
          </w:p>
        </w:tc>
      </w:tr>
    </w:tbl>
    <w:p w14:paraId="31280488"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 xml:space="preserve">General Mandate 3. The General Meeting of Shareholders approves the Audited Financial Statements 2023. </w:t>
      </w:r>
    </w:p>
    <w:p w14:paraId="67429F95"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General Mandate 4. The General Meeting of Shareholders approves the report on activities of the Supervisory Board in 2023.</w:t>
      </w:r>
    </w:p>
    <w:p w14:paraId="01F11097"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General Mandate 5: The General Meeting of Shareholders approves the remuneration payment for the Board of Directors and the Supervisory Board in 2023, and the remuneration payment estimate in 2024.</w:t>
      </w:r>
    </w:p>
    <w:p w14:paraId="18163531" w14:textId="77777777" w:rsidR="00967E9C" w:rsidRPr="0040218B" w:rsidRDefault="008F3D57" w:rsidP="0040218B">
      <w:pPr>
        <w:numPr>
          <w:ilvl w:val="0"/>
          <w:numId w:val="2"/>
        </w:numPr>
        <w:pBdr>
          <w:top w:val="nil"/>
          <w:left w:val="nil"/>
          <w:bottom w:val="nil"/>
          <w:right w:val="nil"/>
          <w:between w:val="nil"/>
        </w:pBdr>
        <w:tabs>
          <w:tab w:val="left" w:pos="432"/>
          <w:tab w:val="left" w:pos="540"/>
          <w:tab w:val="left" w:pos="630"/>
        </w:tabs>
        <w:spacing w:after="120" w:line="360" w:lineRule="auto"/>
        <w:ind w:left="0" w:firstLine="0"/>
        <w:jc w:val="both"/>
        <w:rPr>
          <w:rFonts w:ascii="Arial" w:eastAsia="Arial" w:hAnsi="Arial" w:cs="Arial"/>
          <w:color w:val="010000"/>
          <w:sz w:val="20"/>
          <w:szCs w:val="20"/>
        </w:rPr>
      </w:pPr>
      <w:r w:rsidRPr="0040218B">
        <w:rPr>
          <w:rFonts w:ascii="Arial" w:hAnsi="Arial" w:cs="Arial"/>
          <w:color w:val="010000"/>
          <w:sz w:val="20"/>
          <w:szCs w:val="20"/>
        </w:rPr>
        <w:t>The remuneration for the Board of Directors and the Supervisory Board of the Company in 2023 is VND 156,000,000.</w:t>
      </w:r>
    </w:p>
    <w:p w14:paraId="27036575" w14:textId="77777777" w:rsidR="00967E9C" w:rsidRPr="0040218B" w:rsidRDefault="008F3D57" w:rsidP="0040218B">
      <w:pPr>
        <w:keepNext/>
        <w:numPr>
          <w:ilvl w:val="0"/>
          <w:numId w:val="5"/>
        </w:numPr>
        <w:pBdr>
          <w:top w:val="nil"/>
          <w:left w:val="nil"/>
          <w:bottom w:val="nil"/>
          <w:right w:val="nil"/>
          <w:between w:val="nil"/>
        </w:pBdr>
        <w:tabs>
          <w:tab w:val="left" w:pos="432"/>
          <w:tab w:val="left" w:pos="540"/>
          <w:tab w:val="left" w:pos="630"/>
          <w:tab w:val="left" w:pos="2008"/>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Members of the Board of Directors:</w:t>
      </w:r>
    </w:p>
    <w:p w14:paraId="4857FD04"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VND 2,000,000/person/month x 5 persons x 12 months = VND 120,000,000</w:t>
      </w:r>
    </w:p>
    <w:p w14:paraId="72924F2D" w14:textId="77777777" w:rsidR="00967E9C" w:rsidRPr="0040218B" w:rsidRDefault="008F3D57" w:rsidP="0040218B">
      <w:pPr>
        <w:keepNext/>
        <w:numPr>
          <w:ilvl w:val="0"/>
          <w:numId w:val="5"/>
        </w:numPr>
        <w:pBdr>
          <w:top w:val="nil"/>
          <w:left w:val="nil"/>
          <w:bottom w:val="nil"/>
          <w:right w:val="nil"/>
          <w:between w:val="nil"/>
        </w:pBdr>
        <w:tabs>
          <w:tab w:val="left" w:pos="432"/>
          <w:tab w:val="left" w:pos="540"/>
          <w:tab w:val="left" w:pos="630"/>
          <w:tab w:val="left" w:pos="2022"/>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Members of the Supervisory Board:</w:t>
      </w:r>
    </w:p>
    <w:p w14:paraId="71F4718C"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VND 1,000,000/person/month X 3 persons X 12 months = VND 36,000,000</w:t>
      </w:r>
    </w:p>
    <w:p w14:paraId="49B4FFF8" w14:textId="77777777" w:rsidR="00967E9C" w:rsidRPr="0040218B" w:rsidRDefault="008F3D57" w:rsidP="0040218B">
      <w:pPr>
        <w:pStyle w:val="ListParagraph"/>
        <w:numPr>
          <w:ilvl w:val="0"/>
          <w:numId w:val="6"/>
        </w:numPr>
        <w:pBdr>
          <w:top w:val="nil"/>
          <w:left w:val="nil"/>
          <w:bottom w:val="nil"/>
          <w:right w:val="nil"/>
          <w:between w:val="nil"/>
        </w:pBdr>
        <w:tabs>
          <w:tab w:val="left" w:pos="432"/>
          <w:tab w:val="left" w:pos="540"/>
          <w:tab w:val="left" w:pos="630"/>
        </w:tabs>
        <w:spacing w:after="120" w:line="360" w:lineRule="auto"/>
        <w:ind w:left="0" w:firstLine="0"/>
        <w:contextualSpacing w:val="0"/>
        <w:jc w:val="both"/>
        <w:rPr>
          <w:rFonts w:ascii="Arial" w:eastAsia="Arial" w:hAnsi="Arial" w:cs="Arial"/>
          <w:color w:val="010000"/>
          <w:sz w:val="20"/>
          <w:szCs w:val="20"/>
        </w:rPr>
      </w:pPr>
      <w:r w:rsidRPr="0040218B">
        <w:rPr>
          <w:rFonts w:ascii="Arial" w:hAnsi="Arial" w:cs="Arial"/>
          <w:color w:val="010000"/>
          <w:sz w:val="20"/>
          <w:szCs w:val="20"/>
        </w:rPr>
        <w:t>Estimated remuneration for the Board of Directors and the Supervisory Board in 2024 is VND 174,000,000.</w:t>
      </w:r>
    </w:p>
    <w:p w14:paraId="3FCCAD87" w14:textId="77777777" w:rsidR="00967E9C" w:rsidRPr="0040218B" w:rsidRDefault="008F3D57" w:rsidP="0040218B">
      <w:pPr>
        <w:keepNext/>
        <w:numPr>
          <w:ilvl w:val="0"/>
          <w:numId w:val="1"/>
        </w:numPr>
        <w:pBdr>
          <w:top w:val="nil"/>
          <w:left w:val="nil"/>
          <w:bottom w:val="nil"/>
          <w:right w:val="nil"/>
          <w:between w:val="nil"/>
        </w:pBdr>
        <w:tabs>
          <w:tab w:val="left" w:pos="432"/>
          <w:tab w:val="left" w:pos="540"/>
          <w:tab w:val="left" w:pos="630"/>
          <w:tab w:val="left" w:pos="2011"/>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Members of the Board of Directors:</w:t>
      </w:r>
    </w:p>
    <w:p w14:paraId="2A29E51E"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VND 2,000,000/person/month x 5 persons x 12 months = VND 120,000,000</w:t>
      </w:r>
    </w:p>
    <w:p w14:paraId="244777E8" w14:textId="77777777" w:rsidR="00967E9C" w:rsidRPr="0040218B" w:rsidRDefault="008F3D57" w:rsidP="0040218B">
      <w:pPr>
        <w:keepNext/>
        <w:numPr>
          <w:ilvl w:val="0"/>
          <w:numId w:val="1"/>
        </w:numPr>
        <w:pBdr>
          <w:top w:val="nil"/>
          <w:left w:val="nil"/>
          <w:bottom w:val="nil"/>
          <w:right w:val="nil"/>
          <w:between w:val="nil"/>
        </w:pBdr>
        <w:tabs>
          <w:tab w:val="left" w:pos="432"/>
          <w:tab w:val="left" w:pos="540"/>
          <w:tab w:val="left" w:pos="630"/>
          <w:tab w:val="left" w:pos="2022"/>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Members of the Supervisory Board:</w:t>
      </w:r>
    </w:p>
    <w:p w14:paraId="64CFC81C"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VND 1,500,000/person/month x 3 persons x 2 months = VND 54,000,000</w:t>
      </w:r>
    </w:p>
    <w:p w14:paraId="123CC94B"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General Mandate 6: The General Meeting of Shareholders approves the profit distribution in 2023 and the plan for 2024.</w:t>
      </w:r>
    </w:p>
    <w:p w14:paraId="41030409" w14:textId="1D5AE44C"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General Mandate 7: The General Meeting of Shareholders approves the amendment of the Company’s Charter according to Law No. 03/2022/QH15 approved by the National Assembly of the Socialist Republic of Vietnam on January 11, 2022.</w:t>
      </w:r>
    </w:p>
    <w:p w14:paraId="16A9ACF5" w14:textId="77777777" w:rsidR="00D048FF"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hAnsi="Arial" w:cs="Arial"/>
          <w:color w:val="010000"/>
          <w:sz w:val="20"/>
          <w:szCs w:val="20"/>
        </w:rPr>
      </w:pPr>
      <w:r w:rsidRPr="0040218B">
        <w:rPr>
          <w:rFonts w:ascii="Arial" w:hAnsi="Arial" w:cs="Arial"/>
          <w:color w:val="010000"/>
          <w:sz w:val="20"/>
          <w:szCs w:val="20"/>
        </w:rPr>
        <w:t>General Mandate 8: The General Meeting of Shareholders approves the issuance of Regulations on internal corporate governance; Operational Regulation of the Board of Directors; Operational Regulation of the Sup</w:t>
      </w:r>
      <w:r w:rsidR="0051693A" w:rsidRPr="0040218B">
        <w:rPr>
          <w:rFonts w:ascii="Arial" w:hAnsi="Arial" w:cs="Arial"/>
          <w:color w:val="010000"/>
          <w:sz w:val="20"/>
          <w:szCs w:val="20"/>
        </w:rPr>
        <w:t>ervisory Board of the Company.</w:t>
      </w:r>
    </w:p>
    <w:p w14:paraId="2BBE932E" w14:textId="65E4D419" w:rsidR="00967E9C" w:rsidRPr="0040218B" w:rsidRDefault="00D048FF"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G</w:t>
      </w:r>
      <w:r w:rsidR="008F3D57" w:rsidRPr="0040218B">
        <w:rPr>
          <w:rFonts w:ascii="Arial" w:hAnsi="Arial" w:cs="Arial"/>
          <w:color w:val="010000"/>
          <w:sz w:val="20"/>
          <w:szCs w:val="20"/>
        </w:rPr>
        <w:t xml:space="preserve">eneral Mandate 9: The General Meeting of Shareholders approves authorizing the Board of Directors to select an independent audit company </w:t>
      </w:r>
      <w:r w:rsidR="0051693A" w:rsidRPr="0040218B">
        <w:rPr>
          <w:rFonts w:ascii="Arial" w:hAnsi="Arial" w:cs="Arial"/>
          <w:color w:val="010000"/>
          <w:sz w:val="20"/>
          <w:szCs w:val="20"/>
        </w:rPr>
        <w:t>for the</w:t>
      </w:r>
      <w:r w:rsidR="008F3D57" w:rsidRPr="0040218B">
        <w:rPr>
          <w:rFonts w:ascii="Arial" w:hAnsi="Arial" w:cs="Arial"/>
          <w:color w:val="010000"/>
          <w:sz w:val="20"/>
          <w:szCs w:val="20"/>
        </w:rPr>
        <w:t xml:space="preserve"> Financial Statements 2024.</w:t>
      </w:r>
    </w:p>
    <w:p w14:paraId="4921113F"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General Mandate 10: The General Meeting of Shareholders approves the dismissal and election of additional members of the Supervisory Board for the 2023-2028 term, specifically:</w:t>
      </w:r>
    </w:p>
    <w:p w14:paraId="149F66F2" w14:textId="065CFFBC" w:rsidR="00967E9C" w:rsidRPr="0040218B" w:rsidRDefault="008F3D57" w:rsidP="0040218B">
      <w:pPr>
        <w:numPr>
          <w:ilvl w:val="0"/>
          <w:numId w:val="3"/>
        </w:numPr>
        <w:pBdr>
          <w:top w:val="nil"/>
          <w:left w:val="nil"/>
          <w:bottom w:val="nil"/>
          <w:right w:val="nil"/>
          <w:between w:val="nil"/>
        </w:pBdr>
        <w:tabs>
          <w:tab w:val="left" w:pos="432"/>
          <w:tab w:val="left" w:pos="540"/>
          <w:tab w:val="left" w:pos="630"/>
          <w:tab w:val="left" w:pos="1585"/>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 xml:space="preserve">The General Meeting of Shareholders approves the dismissal of </w:t>
      </w:r>
      <w:r w:rsidR="00D048FF" w:rsidRPr="0040218B">
        <w:rPr>
          <w:rFonts w:ascii="Arial" w:hAnsi="Arial" w:cs="Arial"/>
          <w:color w:val="010000"/>
          <w:sz w:val="20"/>
          <w:szCs w:val="20"/>
        </w:rPr>
        <w:t xml:space="preserve">a </w:t>
      </w:r>
      <w:r w:rsidRPr="0040218B">
        <w:rPr>
          <w:rFonts w:ascii="Arial" w:hAnsi="Arial" w:cs="Arial"/>
          <w:color w:val="010000"/>
          <w:sz w:val="20"/>
          <w:szCs w:val="20"/>
        </w:rPr>
        <w:t xml:space="preserve">member of the Supervisory Board for Ms. Tran </w:t>
      </w:r>
      <w:proofErr w:type="spellStart"/>
      <w:r w:rsidRPr="0040218B">
        <w:rPr>
          <w:rFonts w:ascii="Arial" w:hAnsi="Arial" w:cs="Arial"/>
          <w:color w:val="010000"/>
          <w:sz w:val="20"/>
          <w:szCs w:val="20"/>
        </w:rPr>
        <w:t>Nguyet</w:t>
      </w:r>
      <w:proofErr w:type="spellEnd"/>
      <w:r w:rsidRPr="0040218B">
        <w:rPr>
          <w:rFonts w:ascii="Arial" w:hAnsi="Arial" w:cs="Arial"/>
          <w:color w:val="010000"/>
          <w:sz w:val="20"/>
          <w:szCs w:val="20"/>
        </w:rPr>
        <w:t xml:space="preserve"> Minh.</w:t>
      </w:r>
    </w:p>
    <w:p w14:paraId="423D0936" w14:textId="4E1E0949" w:rsidR="00967E9C" w:rsidRPr="0040218B" w:rsidRDefault="008F3D57" w:rsidP="0040218B">
      <w:pPr>
        <w:numPr>
          <w:ilvl w:val="0"/>
          <w:numId w:val="3"/>
        </w:numPr>
        <w:pBdr>
          <w:top w:val="nil"/>
          <w:left w:val="nil"/>
          <w:bottom w:val="nil"/>
          <w:right w:val="nil"/>
          <w:between w:val="nil"/>
        </w:pBdr>
        <w:tabs>
          <w:tab w:val="left" w:pos="432"/>
          <w:tab w:val="left" w:pos="540"/>
          <w:tab w:val="left" w:pos="630"/>
          <w:tab w:val="left" w:pos="1585"/>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lastRenderedPageBreak/>
        <w:t>The General Meeting of Shareholders approves the number of additional members of the Supervisory Board for the 2023-2028 term</w:t>
      </w:r>
      <w:r w:rsidR="00D048FF" w:rsidRPr="0040218B">
        <w:rPr>
          <w:rFonts w:ascii="Arial" w:hAnsi="Arial" w:cs="Arial"/>
          <w:color w:val="010000"/>
          <w:sz w:val="20"/>
          <w:szCs w:val="20"/>
        </w:rPr>
        <w:t xml:space="preserve">: </w:t>
      </w:r>
      <w:r w:rsidRPr="0040218B">
        <w:rPr>
          <w:rFonts w:ascii="Arial" w:hAnsi="Arial" w:cs="Arial"/>
          <w:color w:val="010000"/>
          <w:sz w:val="20"/>
          <w:szCs w:val="20"/>
        </w:rPr>
        <w:t>01 member.</w:t>
      </w:r>
    </w:p>
    <w:p w14:paraId="3A973868" w14:textId="77777777" w:rsidR="00967E9C" w:rsidRPr="0040218B" w:rsidRDefault="008F3D57" w:rsidP="0040218B">
      <w:pPr>
        <w:numPr>
          <w:ilvl w:val="0"/>
          <w:numId w:val="3"/>
        </w:num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 xml:space="preserve">The election of additional member of the Supervisory Board for the 2023-2028 term </w:t>
      </w:r>
      <w:r w:rsidR="005C2FDA" w:rsidRPr="0040218B">
        <w:rPr>
          <w:rFonts w:ascii="Arial" w:hAnsi="Arial" w:cs="Arial"/>
          <w:color w:val="010000"/>
          <w:sz w:val="20"/>
          <w:szCs w:val="20"/>
        </w:rPr>
        <w:t xml:space="preserve">is </w:t>
      </w:r>
      <w:r w:rsidRPr="0040218B">
        <w:rPr>
          <w:rFonts w:ascii="Arial" w:hAnsi="Arial" w:cs="Arial"/>
          <w:color w:val="010000"/>
          <w:sz w:val="20"/>
          <w:szCs w:val="20"/>
        </w:rPr>
        <w:t>as follows:</w:t>
      </w:r>
    </w:p>
    <w:p w14:paraId="565BB4D0" w14:textId="77777777" w:rsidR="00967E9C" w:rsidRPr="0040218B" w:rsidRDefault="008F3D57" w:rsidP="0040218B">
      <w:pPr>
        <w:numPr>
          <w:ilvl w:val="0"/>
          <w:numId w:val="2"/>
        </w:numPr>
        <w:pBdr>
          <w:top w:val="nil"/>
          <w:left w:val="nil"/>
          <w:bottom w:val="nil"/>
          <w:right w:val="nil"/>
          <w:between w:val="nil"/>
        </w:pBdr>
        <w:tabs>
          <w:tab w:val="left" w:pos="432"/>
          <w:tab w:val="left" w:pos="540"/>
          <w:tab w:val="left" w:pos="630"/>
        </w:tabs>
        <w:spacing w:after="120" w:line="360" w:lineRule="auto"/>
        <w:ind w:left="0" w:firstLine="0"/>
        <w:jc w:val="both"/>
        <w:rPr>
          <w:rFonts w:ascii="Arial" w:eastAsia="Arial" w:hAnsi="Arial" w:cs="Arial"/>
          <w:color w:val="010000"/>
          <w:sz w:val="20"/>
          <w:szCs w:val="20"/>
        </w:rPr>
      </w:pPr>
      <w:r w:rsidRPr="0040218B">
        <w:rPr>
          <w:rFonts w:ascii="Arial" w:hAnsi="Arial" w:cs="Arial"/>
          <w:color w:val="010000"/>
          <w:sz w:val="20"/>
          <w:szCs w:val="20"/>
        </w:rPr>
        <w:t xml:space="preserve">Ms. Le </w:t>
      </w:r>
      <w:proofErr w:type="spellStart"/>
      <w:r w:rsidRPr="0040218B">
        <w:rPr>
          <w:rFonts w:ascii="Arial" w:hAnsi="Arial" w:cs="Arial"/>
          <w:color w:val="010000"/>
          <w:sz w:val="20"/>
          <w:szCs w:val="20"/>
        </w:rPr>
        <w:t>Xuan</w:t>
      </w:r>
      <w:proofErr w:type="spellEnd"/>
      <w:r w:rsidRPr="0040218B">
        <w:rPr>
          <w:rFonts w:ascii="Arial" w:hAnsi="Arial" w:cs="Arial"/>
          <w:color w:val="010000"/>
          <w:sz w:val="20"/>
          <w:szCs w:val="20"/>
        </w:rPr>
        <w:t xml:space="preserve"> </w:t>
      </w:r>
      <w:proofErr w:type="spellStart"/>
      <w:r w:rsidRPr="0040218B">
        <w:rPr>
          <w:rFonts w:ascii="Arial" w:hAnsi="Arial" w:cs="Arial"/>
          <w:color w:val="010000"/>
          <w:sz w:val="20"/>
          <w:szCs w:val="20"/>
        </w:rPr>
        <w:t>Huong</w:t>
      </w:r>
      <w:proofErr w:type="spellEnd"/>
      <w:r w:rsidRPr="0040218B">
        <w:rPr>
          <w:rFonts w:ascii="Arial" w:hAnsi="Arial" w:cs="Arial"/>
          <w:color w:val="010000"/>
          <w:sz w:val="20"/>
          <w:szCs w:val="20"/>
        </w:rPr>
        <w:t>.</w:t>
      </w:r>
    </w:p>
    <w:p w14:paraId="173470E6" w14:textId="6E177BBC"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 xml:space="preserve">General Mandate 11: The General Meeting of Shareholders fully authorizes and allows the Board of Directors to authorize the Chair of the Board of Directors or other members of the Board of Directors to review, decide, and implement the contents reviewed and approved by the General Meeting of Shareholders, decide on other incurred issues under the authority of the General Meetings of Shareholders </w:t>
      </w:r>
      <w:r w:rsidR="00D048FF" w:rsidRPr="0040218B">
        <w:rPr>
          <w:rFonts w:ascii="Arial" w:hAnsi="Arial" w:cs="Arial"/>
          <w:color w:val="010000"/>
          <w:sz w:val="20"/>
          <w:szCs w:val="20"/>
        </w:rPr>
        <w:t xml:space="preserve">that </w:t>
      </w:r>
      <w:r w:rsidRPr="0040218B">
        <w:rPr>
          <w:rFonts w:ascii="Arial" w:hAnsi="Arial" w:cs="Arial"/>
          <w:color w:val="010000"/>
          <w:sz w:val="20"/>
          <w:szCs w:val="20"/>
        </w:rPr>
        <w:t>must be resolved between the two Annual General Meeting of Shareholders; implement the relevant procedures according to the regulations.</w:t>
      </w:r>
    </w:p>
    <w:p w14:paraId="51DBD928" w14:textId="5A0B58B5"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The General Mandates and contents of authorization according to the General Mandate take effect from the date of its approval and do not</w:t>
      </w:r>
      <w:r w:rsidR="00367BD8" w:rsidRPr="0040218B">
        <w:rPr>
          <w:rFonts w:ascii="Arial" w:hAnsi="Arial" w:cs="Arial"/>
          <w:color w:val="010000"/>
          <w:sz w:val="20"/>
          <w:szCs w:val="20"/>
        </w:rPr>
        <w:t xml:space="preserve"> have a</w:t>
      </w:r>
      <w:r w:rsidRPr="0040218B">
        <w:rPr>
          <w:rFonts w:ascii="Arial" w:hAnsi="Arial" w:cs="Arial"/>
          <w:color w:val="010000"/>
          <w:sz w:val="20"/>
          <w:szCs w:val="20"/>
        </w:rPr>
        <w:t xml:space="preserve"> limit </w:t>
      </w:r>
      <w:r w:rsidR="00367BD8" w:rsidRPr="0040218B">
        <w:rPr>
          <w:rFonts w:ascii="Arial" w:hAnsi="Arial" w:cs="Arial"/>
          <w:color w:val="010000"/>
          <w:sz w:val="20"/>
          <w:szCs w:val="20"/>
        </w:rPr>
        <w:t xml:space="preserve">on </w:t>
      </w:r>
      <w:r w:rsidRPr="0040218B">
        <w:rPr>
          <w:rFonts w:ascii="Arial" w:hAnsi="Arial" w:cs="Arial"/>
          <w:color w:val="010000"/>
          <w:sz w:val="20"/>
          <w:szCs w:val="20"/>
        </w:rPr>
        <w:t>the validity period until the General Meeting of Shareholders replaces them with another decision.</w:t>
      </w:r>
    </w:p>
    <w:p w14:paraId="7A26B6CF" w14:textId="77777777" w:rsidR="00967E9C" w:rsidRPr="0040218B" w:rsidRDefault="008F3D57" w:rsidP="0040218B">
      <w:pPr>
        <w:pBdr>
          <w:top w:val="nil"/>
          <w:left w:val="nil"/>
          <w:bottom w:val="nil"/>
          <w:right w:val="nil"/>
          <w:between w:val="nil"/>
        </w:pBdr>
        <w:tabs>
          <w:tab w:val="left" w:pos="432"/>
          <w:tab w:val="left" w:pos="540"/>
          <w:tab w:val="left" w:pos="630"/>
        </w:tabs>
        <w:spacing w:after="120" w:line="360" w:lineRule="auto"/>
        <w:jc w:val="both"/>
        <w:rPr>
          <w:rFonts w:ascii="Arial" w:eastAsia="Arial" w:hAnsi="Arial" w:cs="Arial"/>
          <w:color w:val="010000"/>
          <w:sz w:val="20"/>
          <w:szCs w:val="20"/>
        </w:rPr>
      </w:pPr>
      <w:r w:rsidRPr="0040218B">
        <w:rPr>
          <w:rFonts w:ascii="Arial" w:hAnsi="Arial" w:cs="Arial"/>
          <w:color w:val="010000"/>
          <w:sz w:val="20"/>
          <w:szCs w:val="20"/>
        </w:rPr>
        <w:t>Article 2: This General Mandate takes effect from the date of its signing. Shareholders, the Board of Directors, the Supervisory Board, the Board of Management, Heads of departments and divisions of the Company, and relevant individuals are responsible for implementing this General Mandate.</w:t>
      </w:r>
    </w:p>
    <w:sectPr w:rsidR="00967E9C" w:rsidRPr="0040218B" w:rsidSect="006E4E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B54"/>
    <w:multiLevelType w:val="multilevel"/>
    <w:tmpl w:val="50ECC650"/>
    <w:lvl w:ilvl="0">
      <w:start w:val="1"/>
      <w:numFmt w:val="bullet"/>
      <w:lvlText w:val="+"/>
      <w:lvlJc w:val="left"/>
      <w:pPr>
        <w:ind w:left="740" w:hanging="360"/>
      </w:pPr>
      <w:rPr>
        <w:rFonts w:ascii="Arial" w:eastAsia="Noto Sans Symbols" w:hAnsi="Arial" w:cs="Arial"/>
        <w:b w:val="0"/>
        <w:i w:val="0"/>
        <w:sz w:val="20"/>
        <w:u w:val="none"/>
      </w:rPr>
    </w:lvl>
    <w:lvl w:ilvl="1">
      <w:start w:val="1"/>
      <w:numFmt w:val="bullet"/>
      <w:lvlText w:val="o"/>
      <w:lvlJc w:val="left"/>
      <w:pPr>
        <w:ind w:left="1460" w:hanging="360"/>
      </w:pPr>
      <w:rPr>
        <w:rFonts w:ascii="Arial" w:eastAsia="Courier New" w:hAnsi="Arial" w:cs="Arial"/>
        <w:b w:val="0"/>
        <w:i w:val="0"/>
        <w:sz w:val="20"/>
      </w:rPr>
    </w:lvl>
    <w:lvl w:ilvl="2">
      <w:start w:val="1"/>
      <w:numFmt w:val="bullet"/>
      <w:lvlText w:val="▪"/>
      <w:lvlJc w:val="left"/>
      <w:pPr>
        <w:ind w:left="2180" w:hanging="360"/>
      </w:pPr>
      <w:rPr>
        <w:rFonts w:ascii="Arial" w:eastAsia="Noto Sans Symbols" w:hAnsi="Arial" w:cs="Arial"/>
        <w:b w:val="0"/>
        <w:i w:val="0"/>
        <w:sz w:val="20"/>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
    <w:nsid w:val="079344E6"/>
    <w:multiLevelType w:val="hybridMultilevel"/>
    <w:tmpl w:val="81F27EFA"/>
    <w:lvl w:ilvl="0" w:tplc="6EAA13AE">
      <w:start w:val="1"/>
      <w:numFmt w:val="bullet"/>
      <w:lvlText w:val="+"/>
      <w:lvlJc w:val="left"/>
      <w:pPr>
        <w:ind w:left="720" w:hanging="360"/>
      </w:pPr>
      <w:rPr>
        <w:rFonts w:ascii="Arial" w:hAnsi="Arial" w:cs="Arial" w:hint="default"/>
        <w:b w:val="0"/>
        <w:i w:val="0"/>
        <w:sz w:val="20"/>
        <w:u w:val="none"/>
      </w:rPr>
    </w:lvl>
    <w:lvl w:ilvl="1" w:tplc="9586A026" w:tentative="1">
      <w:start w:val="1"/>
      <w:numFmt w:val="bullet"/>
      <w:lvlText w:val="o"/>
      <w:lvlJc w:val="left"/>
      <w:pPr>
        <w:ind w:left="1440" w:hanging="360"/>
      </w:pPr>
      <w:rPr>
        <w:rFonts w:ascii="Arial" w:hAnsi="Arial" w:cs="Arial" w:hint="default"/>
        <w:b w:val="0"/>
        <w:i w:val="0"/>
        <w:sz w:val="20"/>
      </w:rPr>
    </w:lvl>
    <w:lvl w:ilvl="2" w:tplc="9E5812A6"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6C0C"/>
    <w:multiLevelType w:val="multilevel"/>
    <w:tmpl w:val="EADCA2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6A51B3B"/>
    <w:multiLevelType w:val="multilevel"/>
    <w:tmpl w:val="CC380FD4"/>
    <w:lvl w:ilvl="0">
      <w:start w:val="1"/>
      <w:numFmt w:val="bullet"/>
      <w:lvlText w:val="-"/>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0165B41"/>
    <w:multiLevelType w:val="multilevel"/>
    <w:tmpl w:val="5666F5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D0625C4"/>
    <w:multiLevelType w:val="multilevel"/>
    <w:tmpl w:val="AE9E671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9C"/>
    <w:rsid w:val="00367BD8"/>
    <w:rsid w:val="003A567D"/>
    <w:rsid w:val="0040218B"/>
    <w:rsid w:val="0051693A"/>
    <w:rsid w:val="005C2FDA"/>
    <w:rsid w:val="006E4E9E"/>
    <w:rsid w:val="006F7DDD"/>
    <w:rsid w:val="008F3D57"/>
    <w:rsid w:val="00967E9C"/>
    <w:rsid w:val="00D0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EDB0"/>
  <w15:docId w15:val="{EAF13785-7C9B-44CB-8187-4A72BC30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AF2E4B"/>
      <w:w w:val="7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DB3253"/>
      <w:sz w:val="32"/>
      <w:szCs w:val="3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91617"/>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91617"/>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6"/>
      <w:szCs w:val="26"/>
      <w:u w:val="none"/>
      <w:shd w:val="clear" w:color="auto" w:fill="auto"/>
    </w:rPr>
  </w:style>
  <w:style w:type="paragraph" w:styleId="BodyText">
    <w:name w:val="Body Text"/>
    <w:basedOn w:val="Normal"/>
    <w:link w:val="BodyTextChar"/>
    <w:qFormat/>
    <w:pPr>
      <w:spacing w:line="324" w:lineRule="auto"/>
      <w:ind w:firstLine="2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i/>
      <w:iCs/>
      <w:sz w:val="26"/>
      <w:szCs w:val="26"/>
    </w:rPr>
  </w:style>
  <w:style w:type="paragraph" w:customStyle="1" w:styleId="Other0">
    <w:name w:val="Other"/>
    <w:basedOn w:val="Normal"/>
    <w:link w:val="Other"/>
    <w:pPr>
      <w:spacing w:line="324" w:lineRule="auto"/>
      <w:ind w:firstLine="20"/>
    </w:pPr>
    <w:rPr>
      <w:rFonts w:ascii="Times New Roman" w:eastAsia="Times New Roman" w:hAnsi="Times New Roman" w:cs="Times New Roman"/>
      <w:sz w:val="26"/>
      <w:szCs w:val="26"/>
    </w:rPr>
  </w:style>
  <w:style w:type="paragraph" w:customStyle="1" w:styleId="Bodytext40">
    <w:name w:val="Body text (4)"/>
    <w:basedOn w:val="Normal"/>
    <w:link w:val="Bodytext4"/>
    <w:pPr>
      <w:jc w:val="right"/>
    </w:pPr>
    <w:rPr>
      <w:rFonts w:ascii="Arial" w:eastAsia="Arial" w:hAnsi="Arial" w:cs="Arial"/>
      <w:b/>
      <w:bCs/>
      <w:color w:val="AF2E4B"/>
      <w:w w:val="70"/>
      <w:sz w:val="22"/>
      <w:szCs w:val="22"/>
    </w:rPr>
  </w:style>
  <w:style w:type="paragraph" w:customStyle="1" w:styleId="Bodytext50">
    <w:name w:val="Body text (5)"/>
    <w:basedOn w:val="Normal"/>
    <w:link w:val="Bodytext5"/>
    <w:pPr>
      <w:jc w:val="right"/>
    </w:pPr>
    <w:rPr>
      <w:rFonts w:ascii="Times New Roman" w:eastAsia="Times New Roman" w:hAnsi="Times New Roman" w:cs="Times New Roman"/>
      <w:b/>
      <w:bCs/>
      <w:color w:val="DB3253"/>
      <w:sz w:val="32"/>
      <w:szCs w:val="32"/>
    </w:rPr>
  </w:style>
  <w:style w:type="paragraph" w:customStyle="1" w:styleId="Heading11">
    <w:name w:val="Heading #1"/>
    <w:basedOn w:val="Normal"/>
    <w:link w:val="Heading10"/>
    <w:pPr>
      <w:ind w:left="4840"/>
      <w:outlineLvl w:val="0"/>
    </w:pPr>
    <w:rPr>
      <w:rFonts w:ascii="Times New Roman" w:eastAsia="Times New Roman" w:hAnsi="Times New Roman" w:cs="Times New Roman"/>
      <w:sz w:val="38"/>
      <w:szCs w:val="38"/>
    </w:rPr>
  </w:style>
  <w:style w:type="paragraph" w:customStyle="1" w:styleId="Bodytext30">
    <w:name w:val="Body text (3)"/>
    <w:basedOn w:val="Normal"/>
    <w:link w:val="Bodytext3"/>
    <w:rPr>
      <w:rFonts w:ascii="Times New Roman" w:eastAsia="Times New Roman" w:hAnsi="Times New Roman" w:cs="Times New Roman"/>
      <w:color w:val="E91617"/>
      <w:sz w:val="9"/>
      <w:szCs w:val="9"/>
    </w:rPr>
  </w:style>
  <w:style w:type="paragraph" w:customStyle="1" w:styleId="Bodytext20">
    <w:name w:val="Body text (2)"/>
    <w:basedOn w:val="Normal"/>
    <w:link w:val="Bodytext2"/>
    <w:pPr>
      <w:spacing w:line="216" w:lineRule="auto"/>
    </w:pPr>
    <w:rPr>
      <w:rFonts w:ascii="Times New Roman" w:eastAsia="Times New Roman" w:hAnsi="Times New Roman" w:cs="Times New Roman"/>
      <w:color w:val="E91617"/>
      <w:sz w:val="16"/>
      <w:szCs w:val="16"/>
    </w:rPr>
  </w:style>
  <w:style w:type="paragraph" w:customStyle="1" w:styleId="Heading21">
    <w:name w:val="Heading #2"/>
    <w:basedOn w:val="Normal"/>
    <w:link w:val="Heading20"/>
    <w:pPr>
      <w:spacing w:line="324" w:lineRule="auto"/>
      <w:ind w:left="1660"/>
      <w:outlineLvl w:val="1"/>
    </w:pPr>
    <w:rPr>
      <w:rFonts w:ascii="Times New Roman" w:eastAsia="Times New Roman" w:hAnsi="Times New Roman" w:cs="Times New Roman"/>
      <w:b/>
      <w:bCs/>
      <w:i/>
      <w:iCs/>
      <w:sz w:val="26"/>
      <w:szCs w:val="26"/>
    </w:rPr>
  </w:style>
  <w:style w:type="paragraph" w:styleId="NormalWeb">
    <w:name w:val="Normal (Web)"/>
    <w:basedOn w:val="Normal"/>
    <w:uiPriority w:val="99"/>
    <w:semiHidden/>
    <w:unhideWhenUsed/>
    <w:rsid w:val="002136EE"/>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F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8MpRr59UTMOEBsvjSbrJIMSOA==">CgMxLjA4AHIhMTR6YjIxa0xRa0JtZWZDZV91VzBrUVZsQmtveFRCTnFk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784</Words>
  <Characters>4238</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14</cp:revision>
  <dcterms:created xsi:type="dcterms:W3CDTF">2024-05-11T02:13:00Z</dcterms:created>
  <dcterms:modified xsi:type="dcterms:W3CDTF">2024-05-15T06:21:00Z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b054d7b2e880fb0887b3ac92a533ef23c02132bd4ed3a210493539939e4ca0f3</vt:lpwstr>
  </property>
</Properties>
</file>