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1263" w14:textId="059F3517" w:rsidR="001C6B30" w:rsidRPr="007D593C" w:rsidRDefault="007D593C">
      <w:pPr>
        <w:pBdr>
          <w:top w:val="nil"/>
          <w:left w:val="nil"/>
          <w:bottom w:val="nil"/>
          <w:right w:val="nil"/>
          <w:between w:val="nil"/>
        </w:pBdr>
        <w:tabs>
          <w:tab w:val="left" w:pos="5107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D593C">
        <w:rPr>
          <w:rFonts w:ascii="Arial" w:hAnsi="Arial"/>
          <w:b/>
          <w:bCs/>
          <w:color w:val="010000"/>
          <w:sz w:val="20"/>
        </w:rPr>
        <w:t>HD6:</w:t>
      </w:r>
      <w:r w:rsidRPr="007D593C">
        <w:rPr>
          <w:rFonts w:ascii="Arial" w:hAnsi="Arial"/>
          <w:b/>
          <w:color w:val="010000"/>
          <w:sz w:val="20"/>
        </w:rPr>
        <w:t xml:space="preserve"> Board Resolution</w:t>
      </w:r>
    </w:p>
    <w:p w14:paraId="67D62E90" w14:textId="77777777" w:rsidR="001C6B30" w:rsidRPr="007D593C" w:rsidRDefault="007D593C">
      <w:pPr>
        <w:pBdr>
          <w:top w:val="nil"/>
          <w:left w:val="nil"/>
          <w:bottom w:val="nil"/>
          <w:right w:val="nil"/>
          <w:between w:val="nil"/>
        </w:pBdr>
        <w:tabs>
          <w:tab w:val="left" w:pos="510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 xml:space="preserve">On May 10, 2024, Hanoi Housing Development and Investment Joint Stock Company No 6 announced Resolution No. </w:t>
      </w:r>
      <w:r w:rsidR="005D65C4" w:rsidRPr="007D593C">
        <w:rPr>
          <w:rFonts w:ascii="Arial" w:hAnsi="Arial"/>
          <w:color w:val="010000"/>
          <w:sz w:val="20"/>
        </w:rPr>
        <w:t>0</w:t>
      </w:r>
      <w:r w:rsidRPr="007D593C">
        <w:rPr>
          <w:rFonts w:ascii="Arial" w:hAnsi="Arial"/>
          <w:color w:val="010000"/>
          <w:sz w:val="20"/>
        </w:rPr>
        <w:t>2/2024</w:t>
      </w:r>
      <w:r w:rsidR="005D65C4" w:rsidRPr="007D593C">
        <w:rPr>
          <w:rFonts w:ascii="Arial" w:hAnsi="Arial"/>
          <w:color w:val="010000"/>
          <w:sz w:val="20"/>
        </w:rPr>
        <w:t>/NQ</w:t>
      </w:r>
      <w:r w:rsidRPr="007D593C">
        <w:rPr>
          <w:rFonts w:ascii="Arial" w:hAnsi="Arial"/>
          <w:color w:val="010000"/>
          <w:sz w:val="20"/>
        </w:rPr>
        <w:t xml:space="preserve">-HDQT as follows: </w:t>
      </w:r>
    </w:p>
    <w:p w14:paraId="1EC538E9" w14:textId="77777777" w:rsidR="001C6B30" w:rsidRPr="007D593C" w:rsidRDefault="007D59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Article 1: The Board of Directors approves the following contents:</w:t>
      </w:r>
    </w:p>
    <w:p w14:paraId="0F24FA05" w14:textId="77777777" w:rsidR="001C6B30" w:rsidRPr="007D593C" w:rsidRDefault="007D59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Preparations for the Annual General Meeting of Shareholders for the fiscal year 2023:</w:t>
      </w:r>
    </w:p>
    <w:p w14:paraId="18984E36" w14:textId="77777777" w:rsidR="001C6B30" w:rsidRPr="007D593C" w:rsidRDefault="007D59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Time: June 20, 2024</w:t>
      </w:r>
    </w:p>
    <w:p w14:paraId="25FD3088" w14:textId="77777777" w:rsidR="001C6B30" w:rsidRPr="007D593C" w:rsidRDefault="005D65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Form</w:t>
      </w:r>
      <w:r w:rsidR="007D593C" w:rsidRPr="007D593C">
        <w:rPr>
          <w:rFonts w:ascii="Arial" w:hAnsi="Arial"/>
          <w:color w:val="010000"/>
          <w:sz w:val="20"/>
        </w:rPr>
        <w:t>: Online</w:t>
      </w:r>
    </w:p>
    <w:p w14:paraId="7D3B8CBF" w14:textId="77777777" w:rsidR="001C6B30" w:rsidRPr="007D593C" w:rsidRDefault="007D59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 xml:space="preserve">Assignment: Units coordinate </w:t>
      </w:r>
      <w:r w:rsidR="005D65C4" w:rsidRPr="007D593C">
        <w:rPr>
          <w:rFonts w:ascii="Arial" w:hAnsi="Arial"/>
          <w:color w:val="010000"/>
          <w:sz w:val="20"/>
        </w:rPr>
        <w:t xml:space="preserve">to </w:t>
      </w:r>
      <w:r w:rsidRPr="007D593C">
        <w:rPr>
          <w:rFonts w:ascii="Arial" w:hAnsi="Arial"/>
          <w:color w:val="010000"/>
          <w:sz w:val="20"/>
        </w:rPr>
        <w:t>prepar</w:t>
      </w:r>
      <w:r w:rsidR="005D65C4" w:rsidRPr="007D593C">
        <w:rPr>
          <w:rFonts w:ascii="Arial" w:hAnsi="Arial"/>
          <w:color w:val="010000"/>
          <w:sz w:val="20"/>
        </w:rPr>
        <w:t>e</w:t>
      </w:r>
      <w:r w:rsidRPr="007D593C">
        <w:rPr>
          <w:rFonts w:ascii="Arial" w:hAnsi="Arial"/>
          <w:color w:val="010000"/>
          <w:sz w:val="20"/>
        </w:rPr>
        <w:t xml:space="preserve"> for the General Meeting; Departments are assigned to complete meeting documents and disclose information before May 30, 2024.</w:t>
      </w:r>
    </w:p>
    <w:p w14:paraId="70937631" w14:textId="77777777" w:rsidR="001C6B30" w:rsidRPr="007D593C" w:rsidRDefault="005D6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Agree</w:t>
      </w:r>
      <w:r w:rsidR="007D593C" w:rsidRPr="007D593C">
        <w:rPr>
          <w:rFonts w:ascii="Arial" w:hAnsi="Arial"/>
          <w:color w:val="010000"/>
          <w:sz w:val="20"/>
        </w:rPr>
        <w:t xml:space="preserve"> to present the Annual General Meeting of Shareholders with the production and business plan targets for 2024 as follows:</w:t>
      </w:r>
    </w:p>
    <w:tbl>
      <w:tblPr>
        <w:tblStyle w:val="a"/>
        <w:tblW w:w="9017" w:type="dxa"/>
        <w:tblLayout w:type="fixed"/>
        <w:tblLook w:val="0400" w:firstRow="0" w:lastRow="0" w:firstColumn="0" w:lastColumn="0" w:noHBand="0" w:noVBand="1"/>
      </w:tblPr>
      <w:tblGrid>
        <w:gridCol w:w="530"/>
        <w:gridCol w:w="2732"/>
        <w:gridCol w:w="2875"/>
        <w:gridCol w:w="2880"/>
      </w:tblGrid>
      <w:tr w:rsidR="001C6B30" w:rsidRPr="007D593C" w14:paraId="5A2C1D80" w14:textId="77777777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2A2AE9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BD2940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Targets</w:t>
            </w:r>
          </w:p>
        </w:tc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E458B6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Plan 2024</w:t>
            </w:r>
          </w:p>
        </w:tc>
      </w:tr>
      <w:tr w:rsidR="001C6B30" w:rsidRPr="007D593C" w14:paraId="24DB65E6" w14:textId="77777777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749A1A" w14:textId="77777777" w:rsidR="001C6B30" w:rsidRPr="007D593C" w:rsidRDefault="001C6B30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48D926" w14:textId="77777777" w:rsidR="001C6B30" w:rsidRPr="007D593C" w:rsidRDefault="001C6B30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BF4A64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Separate (Billion VND)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95B206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Consolidated (Billion VND)</w:t>
            </w:r>
          </w:p>
        </w:tc>
      </w:tr>
      <w:tr w:rsidR="001C6B30" w:rsidRPr="007D593C" w14:paraId="64C667C7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E0FA9B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FABBD0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Total revenue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03FA8B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89.21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AF9A7C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420.65</w:t>
            </w:r>
          </w:p>
        </w:tc>
      </w:tr>
      <w:tr w:rsidR="001C6B30" w:rsidRPr="007D593C" w14:paraId="5A3466A0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882A3E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C9440C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Profit before tax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444AAF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16.89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F222F8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45</w:t>
            </w:r>
          </w:p>
        </w:tc>
      </w:tr>
      <w:tr w:rsidR="001C6B30" w:rsidRPr="007D593C" w14:paraId="313B97C9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51DC92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879BB8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Payables to the State budget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6D8AAF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8.74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6E0ED2" w14:textId="77777777" w:rsidR="001C6B30" w:rsidRPr="007D593C" w:rsidRDefault="007D593C" w:rsidP="00BE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D593C">
              <w:rPr>
                <w:rFonts w:ascii="Arial" w:hAnsi="Arial"/>
                <w:color w:val="010000"/>
                <w:sz w:val="20"/>
              </w:rPr>
              <w:t>29.76</w:t>
            </w:r>
          </w:p>
        </w:tc>
      </w:tr>
    </w:tbl>
    <w:p w14:paraId="563AB97C" w14:textId="77777777" w:rsidR="001C6B30" w:rsidRPr="007D593C" w:rsidRDefault="005D65C4" w:rsidP="007D593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Agree</w:t>
      </w:r>
      <w:r w:rsidR="007D593C" w:rsidRPr="007D593C">
        <w:rPr>
          <w:rFonts w:ascii="Arial" w:hAnsi="Arial"/>
          <w:color w:val="010000"/>
          <w:sz w:val="20"/>
        </w:rPr>
        <w:t xml:space="preserve"> to present to the Annual General Meeting of Shareholders the dividend payment rate</w:t>
      </w:r>
      <w:r w:rsidRPr="007D593C">
        <w:rPr>
          <w:rFonts w:ascii="Arial" w:hAnsi="Arial"/>
          <w:color w:val="010000"/>
          <w:sz w:val="20"/>
        </w:rPr>
        <w:t xml:space="preserve"> in</w:t>
      </w:r>
      <w:r w:rsidR="007D593C" w:rsidRPr="007D593C">
        <w:rPr>
          <w:rFonts w:ascii="Arial" w:hAnsi="Arial"/>
          <w:color w:val="010000"/>
          <w:sz w:val="20"/>
        </w:rPr>
        <w:t xml:space="preserve"> 2023: 15% of charter capital, of which:</w:t>
      </w:r>
    </w:p>
    <w:p w14:paraId="25EA9E1E" w14:textId="77777777" w:rsidR="001C6B30" w:rsidRPr="007D593C" w:rsidRDefault="007D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5% paid in cash</w:t>
      </w:r>
    </w:p>
    <w:p w14:paraId="34C0B719" w14:textId="77777777" w:rsidR="001C6B30" w:rsidRPr="007D593C" w:rsidRDefault="007D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 xml:space="preserve">10% paid </w:t>
      </w:r>
      <w:r w:rsidR="005D65C4" w:rsidRPr="007D593C">
        <w:rPr>
          <w:rFonts w:ascii="Arial" w:hAnsi="Arial"/>
          <w:color w:val="010000"/>
          <w:sz w:val="20"/>
        </w:rPr>
        <w:t>by</w:t>
      </w:r>
      <w:r w:rsidRPr="007D593C">
        <w:rPr>
          <w:rFonts w:ascii="Arial" w:hAnsi="Arial"/>
          <w:color w:val="010000"/>
          <w:sz w:val="20"/>
        </w:rPr>
        <w:t xml:space="preserve"> shares</w:t>
      </w:r>
    </w:p>
    <w:p w14:paraId="603CF786" w14:textId="77777777" w:rsidR="001C6B30" w:rsidRPr="007D593C" w:rsidRDefault="007D593C" w:rsidP="007D593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Other contents:</w:t>
      </w:r>
    </w:p>
    <w:p w14:paraId="1DF0A76C" w14:textId="77777777" w:rsidR="001C6B30" w:rsidRPr="007D593C" w:rsidRDefault="007D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 xml:space="preserve">Agree to present to the Annual General Meeting of Shareholders the dismissal of Mr. Hoang Tuan Anh from </w:t>
      </w:r>
      <w:r w:rsidR="005D65C4" w:rsidRPr="007D593C">
        <w:rPr>
          <w:rFonts w:ascii="Arial" w:hAnsi="Arial"/>
          <w:color w:val="010000"/>
          <w:sz w:val="20"/>
        </w:rPr>
        <w:t>the</w:t>
      </w:r>
      <w:r w:rsidRPr="007D593C">
        <w:rPr>
          <w:rFonts w:ascii="Arial" w:hAnsi="Arial"/>
          <w:color w:val="010000"/>
          <w:sz w:val="20"/>
        </w:rPr>
        <w:t xml:space="preserve"> position </w:t>
      </w:r>
      <w:r w:rsidR="005D65C4" w:rsidRPr="007D593C">
        <w:rPr>
          <w:rFonts w:ascii="Arial" w:hAnsi="Arial"/>
          <w:color w:val="010000"/>
          <w:sz w:val="20"/>
        </w:rPr>
        <w:t>of</w:t>
      </w:r>
      <w:r w:rsidRPr="007D593C">
        <w:rPr>
          <w:rFonts w:ascii="Arial" w:hAnsi="Arial"/>
          <w:color w:val="010000"/>
          <w:sz w:val="20"/>
        </w:rPr>
        <w:t xml:space="preserve"> </w:t>
      </w:r>
      <w:r w:rsidR="005D65C4" w:rsidRPr="007D593C">
        <w:rPr>
          <w:rFonts w:ascii="Arial" w:hAnsi="Arial"/>
          <w:color w:val="010000"/>
          <w:sz w:val="20"/>
        </w:rPr>
        <w:t>m</w:t>
      </w:r>
      <w:r w:rsidRPr="007D593C">
        <w:rPr>
          <w:rFonts w:ascii="Arial" w:hAnsi="Arial"/>
          <w:color w:val="010000"/>
          <w:sz w:val="20"/>
        </w:rPr>
        <w:t>ember of the Board of Directors following his resignation dated April 1, 2024.</w:t>
      </w:r>
    </w:p>
    <w:p w14:paraId="3453A89C" w14:textId="77777777" w:rsidR="001C6B30" w:rsidRPr="007D593C" w:rsidRDefault="007D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 xml:space="preserve">The Board of Directors will continue to operate with 4 members for the remainder of the 2020-2025 term and will present to the Annual General Meeting of Shareholders the amendments to the provisions related to the number of </w:t>
      </w:r>
      <w:r w:rsidR="005D65C4" w:rsidRPr="007D593C">
        <w:rPr>
          <w:rFonts w:ascii="Arial" w:hAnsi="Arial"/>
          <w:color w:val="010000"/>
          <w:sz w:val="20"/>
        </w:rPr>
        <w:t xml:space="preserve">members of the </w:t>
      </w:r>
      <w:r w:rsidRPr="007D593C">
        <w:rPr>
          <w:rFonts w:ascii="Arial" w:hAnsi="Arial"/>
          <w:color w:val="010000"/>
          <w:sz w:val="20"/>
        </w:rPr>
        <w:t>Board of Directors in the Company's Charter, operating regulations, and the Regulations of the Board of Directors.</w:t>
      </w:r>
    </w:p>
    <w:p w14:paraId="0878425D" w14:textId="77777777" w:rsidR="001C6B30" w:rsidRPr="007D593C" w:rsidRDefault="007D59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The Company's Board of Directors present</w:t>
      </w:r>
      <w:r w:rsidR="005D65C4" w:rsidRPr="007D593C">
        <w:rPr>
          <w:rFonts w:ascii="Arial" w:hAnsi="Arial"/>
          <w:color w:val="010000"/>
          <w:sz w:val="20"/>
        </w:rPr>
        <w:t>s</w:t>
      </w:r>
      <w:r w:rsidRPr="007D593C">
        <w:rPr>
          <w:rFonts w:ascii="Arial" w:hAnsi="Arial"/>
          <w:color w:val="010000"/>
          <w:sz w:val="20"/>
        </w:rPr>
        <w:t xml:space="preserve"> to the Annual General Meeting of Shareholders the replacement of the public offering </w:t>
      </w:r>
      <w:r w:rsidR="005D65C4" w:rsidRPr="007D593C">
        <w:rPr>
          <w:rFonts w:ascii="Arial" w:hAnsi="Arial"/>
          <w:color w:val="010000"/>
          <w:sz w:val="20"/>
        </w:rPr>
        <w:t xml:space="preserve">plan </w:t>
      </w:r>
      <w:r w:rsidRPr="007D593C">
        <w:rPr>
          <w:rFonts w:ascii="Arial" w:hAnsi="Arial"/>
          <w:color w:val="010000"/>
          <w:sz w:val="20"/>
        </w:rPr>
        <w:t>for existing shareholders in 2024.</w:t>
      </w:r>
    </w:p>
    <w:p w14:paraId="0896AD86" w14:textId="77777777" w:rsidR="001C6B30" w:rsidRPr="007D593C" w:rsidRDefault="007D59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 xml:space="preserve"> </w:t>
      </w:r>
      <w:bookmarkStart w:id="0" w:name="_heading=h.gjdgxs"/>
      <w:bookmarkEnd w:id="0"/>
      <w:r w:rsidRPr="007D593C">
        <w:rPr>
          <w:rFonts w:ascii="Arial" w:hAnsi="Arial"/>
          <w:color w:val="010000"/>
          <w:sz w:val="20"/>
        </w:rPr>
        <w:t>Article 2: Terms of enforcement</w:t>
      </w:r>
    </w:p>
    <w:p w14:paraId="178BA8F3" w14:textId="77777777" w:rsidR="001C6B30" w:rsidRPr="007D593C" w:rsidRDefault="007D59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The General Manager, departments, and relevant units organize and implement in accordance with the provisions of the Company's Charter and the provisions of Law.</w:t>
      </w:r>
    </w:p>
    <w:p w14:paraId="63DD3FC0" w14:textId="77777777" w:rsidR="001C6B30" w:rsidRPr="007D593C" w:rsidRDefault="007D59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593C">
        <w:rPr>
          <w:rFonts w:ascii="Arial" w:hAnsi="Arial"/>
          <w:color w:val="010000"/>
          <w:sz w:val="20"/>
        </w:rPr>
        <w:t>Article 3: This Resolution takes effect from the date of its signing.</w:t>
      </w:r>
      <w:bookmarkStart w:id="1" w:name="_GoBack"/>
      <w:bookmarkEnd w:id="1"/>
    </w:p>
    <w:sectPr w:rsidR="001C6B30" w:rsidRPr="007D593C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05C"/>
    <w:multiLevelType w:val="multilevel"/>
    <w:tmpl w:val="CDC0BA8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CB47B2"/>
    <w:multiLevelType w:val="multilevel"/>
    <w:tmpl w:val="8286C83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3F7B99"/>
    <w:multiLevelType w:val="multilevel"/>
    <w:tmpl w:val="EBEAEF2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BD62CB1"/>
    <w:multiLevelType w:val="multilevel"/>
    <w:tmpl w:val="8BEAFC1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30"/>
    <w:rsid w:val="001C6B30"/>
    <w:rsid w:val="002E571B"/>
    <w:rsid w:val="005D65C4"/>
    <w:rsid w:val="007D593C"/>
    <w:rsid w:val="00B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73677"/>
  <w15:docId w15:val="{09FA8B4D-92D7-46EB-B843-03B6B309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7" w:lineRule="auto"/>
      <w:ind w:firstLine="370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ind w:left="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pPr>
      <w:ind w:firstLine="340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317" w:lineRule="auto"/>
      <w:ind w:firstLine="37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ind w:left="1060"/>
    </w:pPr>
    <w:rPr>
      <w:rFonts w:ascii="Times New Roman" w:eastAsia="Times New Roman" w:hAnsi="Times New Roman" w:cs="Times New Roman"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7D5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DtXfnLuLtb5dFDAu9uYxmVcEw==">CgMxLjAyCGguZ2pkZ3hzOAByITFDQ1hNOHNabmtsa1FiUHIyakhmQ3lTSUpUQXpBMTBTTQ==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5</cp:revision>
  <dcterms:created xsi:type="dcterms:W3CDTF">2024-05-14T03:22:00Z</dcterms:created>
  <dcterms:modified xsi:type="dcterms:W3CDTF">2024-05-15T07:28:00Z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d19f03a5f5813db96b507c1390581f172542f48ea944f1b417c63fb298942457</vt:lpwstr>
  </property>
</Properties>
</file>