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C0079" w14:textId="77777777" w:rsidR="00195B13" w:rsidRPr="00476EFD" w:rsidRDefault="006A7F3B" w:rsidP="001F38B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476EFD">
        <w:rPr>
          <w:rFonts w:ascii="Arial" w:hAnsi="Arial" w:cs="Arial"/>
          <w:b/>
          <w:color w:val="010000"/>
          <w:sz w:val="20"/>
        </w:rPr>
        <w:t>HND: Board Resolution</w:t>
      </w:r>
    </w:p>
    <w:p w14:paraId="26AB1559" w14:textId="77777777" w:rsidR="00195B13" w:rsidRPr="00476EFD" w:rsidRDefault="006A7F3B" w:rsidP="001F38B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On May 9, 2024, Hai </w:t>
      </w:r>
      <w:proofErr w:type="spellStart"/>
      <w:r w:rsidRPr="00476EFD">
        <w:rPr>
          <w:rFonts w:ascii="Arial" w:hAnsi="Arial" w:cs="Arial"/>
          <w:color w:val="010000"/>
          <w:sz w:val="20"/>
        </w:rPr>
        <w:t>Phong</w:t>
      </w:r>
      <w:proofErr w:type="spellEnd"/>
      <w:r w:rsidRPr="00476EFD">
        <w:rPr>
          <w:rFonts w:ascii="Arial" w:hAnsi="Arial" w:cs="Arial"/>
          <w:color w:val="010000"/>
          <w:sz w:val="20"/>
        </w:rPr>
        <w:t xml:space="preserve"> Thermal Power Joint Stock Company announced Resolution No. 3036</w:t>
      </w:r>
      <w:r w:rsidR="001C186E" w:rsidRPr="00476EFD">
        <w:rPr>
          <w:rFonts w:ascii="Arial" w:hAnsi="Arial" w:cs="Arial"/>
          <w:color w:val="010000"/>
          <w:sz w:val="20"/>
        </w:rPr>
        <w:t xml:space="preserve">/NQ-NDHP on the </w:t>
      </w:r>
      <w:r w:rsidRPr="00476EFD">
        <w:rPr>
          <w:rFonts w:ascii="Arial" w:hAnsi="Arial" w:cs="Arial"/>
          <w:color w:val="010000"/>
          <w:sz w:val="20"/>
        </w:rPr>
        <w:t xml:space="preserve">second </w:t>
      </w:r>
      <w:r w:rsidR="001C186E" w:rsidRPr="00476EFD">
        <w:rPr>
          <w:rFonts w:ascii="Arial" w:hAnsi="Arial" w:cs="Arial"/>
          <w:color w:val="010000"/>
          <w:sz w:val="20"/>
        </w:rPr>
        <w:t xml:space="preserve">meeting of the </w:t>
      </w:r>
      <w:r w:rsidRPr="00476EFD">
        <w:rPr>
          <w:rFonts w:ascii="Arial" w:hAnsi="Arial" w:cs="Arial"/>
          <w:color w:val="010000"/>
          <w:sz w:val="20"/>
        </w:rPr>
        <w:t>Board of Directors of 2024 as follows:</w:t>
      </w:r>
    </w:p>
    <w:p w14:paraId="0C5EC6AF" w14:textId="4B946F1F" w:rsidR="00195B13" w:rsidRPr="00476EFD" w:rsidRDefault="006A7F3B" w:rsidP="001F38B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‎‎Article 1. The contents presented to the Annual </w:t>
      </w:r>
      <w:r w:rsidR="00476EFD" w:rsidRPr="00476EFD">
        <w:rPr>
          <w:rFonts w:ascii="Arial" w:hAnsi="Arial" w:cs="Arial"/>
          <w:color w:val="010000"/>
          <w:sz w:val="20"/>
        </w:rPr>
        <w:t>General Meeting of Shareholders</w:t>
      </w:r>
      <w:r w:rsidRPr="00476EFD">
        <w:rPr>
          <w:rFonts w:ascii="Arial" w:hAnsi="Arial" w:cs="Arial"/>
          <w:color w:val="010000"/>
          <w:sz w:val="20"/>
        </w:rPr>
        <w:t xml:space="preserve"> </w:t>
      </w:r>
      <w:r w:rsidR="001C186E" w:rsidRPr="00476EFD">
        <w:rPr>
          <w:rFonts w:ascii="Arial" w:hAnsi="Arial" w:cs="Arial"/>
          <w:color w:val="010000"/>
          <w:sz w:val="20"/>
        </w:rPr>
        <w:t xml:space="preserve">2024 </w:t>
      </w:r>
      <w:r w:rsidRPr="00476EFD">
        <w:rPr>
          <w:rFonts w:ascii="Arial" w:hAnsi="Arial" w:cs="Arial"/>
          <w:color w:val="010000"/>
          <w:sz w:val="20"/>
        </w:rPr>
        <w:t>were approved as follows:</w:t>
      </w:r>
    </w:p>
    <w:p w14:paraId="2AF8E8C3" w14:textId="5995FFE7" w:rsidR="00195B13" w:rsidRPr="00476EFD" w:rsidRDefault="00476EFD" w:rsidP="001F38B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Audited Financial Statements</w:t>
      </w:r>
      <w:r w:rsidR="006A7F3B" w:rsidRPr="00476EFD">
        <w:rPr>
          <w:rFonts w:ascii="Arial" w:hAnsi="Arial" w:cs="Arial"/>
          <w:color w:val="010000"/>
          <w:sz w:val="20"/>
        </w:rPr>
        <w:t xml:space="preserve"> 2023.</w:t>
      </w:r>
    </w:p>
    <w:p w14:paraId="2A065BBB" w14:textId="77777777" w:rsidR="00195B13" w:rsidRPr="00476EFD" w:rsidRDefault="006A7F3B" w:rsidP="001F38B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Results on the production and business activities in 2023 and the production and business plan for 2024;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5432"/>
        <w:gridCol w:w="1475"/>
        <w:gridCol w:w="2120"/>
      </w:tblGrid>
      <w:tr w:rsidR="00195B13" w:rsidRPr="00476EFD" w14:paraId="32BB53D7" w14:textId="77777777" w:rsidTr="001F38BA">
        <w:tc>
          <w:tcPr>
            <w:tcW w:w="3826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F9D512" w14:textId="77777777" w:rsidR="00195B13" w:rsidRPr="00476EFD" w:rsidRDefault="006A7F3B" w:rsidP="001F38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Results on the production and business in 2023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6FFFF6" w14:textId="77777777" w:rsidR="00195B13" w:rsidRPr="00476EFD" w:rsidRDefault="00195B13" w:rsidP="001F38B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195B13" w:rsidRPr="00476EFD" w14:paraId="124CC49B" w14:textId="77777777" w:rsidTr="001F38BA">
        <w:tc>
          <w:tcPr>
            <w:tcW w:w="30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8C1FEB" w14:textId="77777777" w:rsidR="00195B13" w:rsidRPr="00476EFD" w:rsidRDefault="006A7F3B" w:rsidP="001F38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Electricity production output:</w:t>
            </w:r>
          </w:p>
        </w:tc>
        <w:tc>
          <w:tcPr>
            <w:tcW w:w="8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B158C8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7,143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A7C566" w14:textId="77777777" w:rsidR="00195B13" w:rsidRPr="00476EFD" w:rsidRDefault="001C186E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 xml:space="preserve">Million </w:t>
            </w:r>
            <w:r w:rsidR="006A7F3B" w:rsidRPr="00476EFD">
              <w:rPr>
                <w:rFonts w:ascii="Arial" w:hAnsi="Arial" w:cs="Arial"/>
                <w:color w:val="010000"/>
                <w:sz w:val="20"/>
              </w:rPr>
              <w:t xml:space="preserve">kWh </w:t>
            </w:r>
          </w:p>
        </w:tc>
      </w:tr>
      <w:tr w:rsidR="00195B13" w:rsidRPr="00476EFD" w14:paraId="21288B59" w14:textId="77777777" w:rsidTr="001F38BA">
        <w:tc>
          <w:tcPr>
            <w:tcW w:w="30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1F2D2D" w14:textId="77777777" w:rsidR="00195B13" w:rsidRPr="00476EFD" w:rsidRDefault="006A7F3B" w:rsidP="001F38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Total revenue:</w:t>
            </w:r>
          </w:p>
        </w:tc>
        <w:tc>
          <w:tcPr>
            <w:tcW w:w="8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14DA09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11,454.800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FD5812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</w:tr>
      <w:tr w:rsidR="00195B13" w:rsidRPr="00476EFD" w14:paraId="3CB9A635" w14:textId="77777777" w:rsidTr="001F38BA">
        <w:tc>
          <w:tcPr>
            <w:tcW w:w="30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76A2E2" w14:textId="77777777" w:rsidR="00195B13" w:rsidRPr="00476EFD" w:rsidRDefault="006A7F3B" w:rsidP="001F38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Total expenses:</w:t>
            </w:r>
          </w:p>
        </w:tc>
        <w:tc>
          <w:tcPr>
            <w:tcW w:w="8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5391DF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10,989.938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0FBC59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</w:tr>
      <w:tr w:rsidR="00195B13" w:rsidRPr="00476EFD" w14:paraId="129897DB" w14:textId="77777777" w:rsidTr="001F38BA">
        <w:tc>
          <w:tcPr>
            <w:tcW w:w="30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2A18A5" w14:textId="77777777" w:rsidR="00195B13" w:rsidRPr="00476EFD" w:rsidRDefault="006A7F3B" w:rsidP="001F38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Total profit before tax:</w:t>
            </w:r>
          </w:p>
        </w:tc>
        <w:tc>
          <w:tcPr>
            <w:tcW w:w="8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00402B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464.862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AA7D5F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</w:tr>
      <w:tr w:rsidR="00195B13" w:rsidRPr="00476EFD" w14:paraId="29C4ADD7" w14:textId="77777777" w:rsidTr="001F38BA">
        <w:tc>
          <w:tcPr>
            <w:tcW w:w="30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066715" w14:textId="77777777" w:rsidR="00195B13" w:rsidRPr="00476EFD" w:rsidRDefault="006A7F3B" w:rsidP="001F38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Total profit after tax:</w:t>
            </w:r>
          </w:p>
        </w:tc>
        <w:tc>
          <w:tcPr>
            <w:tcW w:w="8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AD3EC9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441.472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4E7AAA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</w:tr>
    </w:tbl>
    <w:p w14:paraId="794DE206" w14:textId="77777777" w:rsidR="00195B13" w:rsidRPr="00476EFD" w:rsidRDefault="006A7F3B" w:rsidP="001F38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The production and business plan for 2024 is as follows:</w:t>
      </w:r>
    </w:p>
    <w:tbl>
      <w:tblPr>
        <w:tblStyle w:val="a0"/>
        <w:tblW w:w="5000" w:type="pct"/>
        <w:tblLook w:val="0400" w:firstRow="0" w:lastRow="0" w:firstColumn="0" w:lastColumn="0" w:noHBand="0" w:noVBand="1"/>
      </w:tblPr>
      <w:tblGrid>
        <w:gridCol w:w="5205"/>
        <w:gridCol w:w="1901"/>
        <w:gridCol w:w="1921"/>
      </w:tblGrid>
      <w:tr w:rsidR="00195B13" w:rsidRPr="00476EFD" w14:paraId="633AC93F" w14:textId="77777777" w:rsidTr="001F38BA">
        <w:tc>
          <w:tcPr>
            <w:tcW w:w="28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E506FA" w14:textId="77777777" w:rsidR="00195B13" w:rsidRPr="00476EFD" w:rsidRDefault="006A7F3B" w:rsidP="001F38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Electricity production output: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4975F7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7,740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3F7A12" w14:textId="77777777" w:rsidR="00195B13" w:rsidRPr="00476EFD" w:rsidRDefault="001C186E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 xml:space="preserve">Million </w:t>
            </w:r>
            <w:r w:rsidR="006A7F3B" w:rsidRPr="00476EFD">
              <w:rPr>
                <w:rFonts w:ascii="Arial" w:hAnsi="Arial" w:cs="Arial"/>
                <w:color w:val="010000"/>
                <w:sz w:val="20"/>
              </w:rPr>
              <w:t>kWh</w:t>
            </w:r>
          </w:p>
        </w:tc>
      </w:tr>
      <w:tr w:rsidR="00195B13" w:rsidRPr="00476EFD" w14:paraId="1A4FA4D6" w14:textId="77777777" w:rsidTr="001F38BA">
        <w:tc>
          <w:tcPr>
            <w:tcW w:w="28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476561" w14:textId="77777777" w:rsidR="00195B13" w:rsidRPr="00476EFD" w:rsidRDefault="006A7F3B" w:rsidP="001F38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Total revenue: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091EDF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12,278.678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F20250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</w:tr>
      <w:tr w:rsidR="00195B13" w:rsidRPr="00476EFD" w14:paraId="3D62A4B8" w14:textId="77777777" w:rsidTr="001F38BA">
        <w:tc>
          <w:tcPr>
            <w:tcW w:w="28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735D43" w14:textId="77777777" w:rsidR="00195B13" w:rsidRPr="00476EFD" w:rsidRDefault="006A7F3B" w:rsidP="001F38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Total expenses: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CDC408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11,884.778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E647F1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</w:tr>
      <w:tr w:rsidR="00195B13" w:rsidRPr="00476EFD" w14:paraId="17DE1838" w14:textId="77777777" w:rsidTr="001F38BA">
        <w:tc>
          <w:tcPr>
            <w:tcW w:w="28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55FB37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(In which, O&amp;M cost/installed capacity:)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9334B0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1,007.97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591741" w14:textId="282379E8" w:rsidR="00195B13" w:rsidRPr="00476EFD" w:rsidRDefault="001C186E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 xml:space="preserve">Million </w:t>
            </w:r>
            <w:r w:rsidR="006A7F3B" w:rsidRPr="00476EFD">
              <w:rPr>
                <w:rFonts w:ascii="Arial" w:hAnsi="Arial" w:cs="Arial"/>
                <w:color w:val="010000"/>
                <w:sz w:val="20"/>
              </w:rPr>
              <w:t>VND/MW</w:t>
            </w:r>
          </w:p>
        </w:tc>
      </w:tr>
      <w:tr w:rsidR="00195B13" w:rsidRPr="00476EFD" w14:paraId="61883D93" w14:textId="77777777" w:rsidTr="001F38BA">
        <w:tc>
          <w:tcPr>
            <w:tcW w:w="28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53DCB5" w14:textId="77777777" w:rsidR="00195B13" w:rsidRPr="00476EFD" w:rsidRDefault="006A7F3B" w:rsidP="001F38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Total profit before tax: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46E6B8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393.899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0DE7F3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</w:tr>
    </w:tbl>
    <w:p w14:paraId="42AF2A9C" w14:textId="77777777" w:rsidR="00195B13" w:rsidRPr="00476EFD" w:rsidRDefault="006A7F3B" w:rsidP="001F38B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(Including striving to save 10</w:t>
      </w:r>
      <w:r w:rsidR="001C186E" w:rsidRPr="00476EFD">
        <w:rPr>
          <w:rFonts w:ascii="Arial" w:hAnsi="Arial" w:cs="Arial"/>
          <w:color w:val="010000"/>
          <w:sz w:val="20"/>
        </w:rPr>
        <w:t>% of</w:t>
      </w:r>
      <w:r w:rsidRPr="00476EFD">
        <w:rPr>
          <w:rFonts w:ascii="Arial" w:hAnsi="Arial" w:cs="Arial"/>
          <w:color w:val="010000"/>
          <w:sz w:val="20"/>
        </w:rPr>
        <w:t xml:space="preserve"> material </w:t>
      </w:r>
      <w:r w:rsidR="001C186E" w:rsidRPr="00476EFD">
        <w:rPr>
          <w:rFonts w:ascii="Arial" w:hAnsi="Arial" w:cs="Arial"/>
          <w:color w:val="010000"/>
          <w:sz w:val="20"/>
        </w:rPr>
        <w:t>expenses</w:t>
      </w:r>
      <w:r w:rsidRPr="00476EFD">
        <w:rPr>
          <w:rFonts w:ascii="Arial" w:hAnsi="Arial" w:cs="Arial"/>
          <w:color w:val="010000"/>
          <w:sz w:val="20"/>
        </w:rPr>
        <w:t>, purchase outside service, other expenses in cash and 20% reduction in major repair costs)</w:t>
      </w:r>
    </w:p>
    <w:p w14:paraId="55028653" w14:textId="77777777" w:rsidR="00195B13" w:rsidRPr="00476EFD" w:rsidRDefault="006A7F3B" w:rsidP="001F38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509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Dividends: 5%</w:t>
      </w:r>
    </w:p>
    <w:p w14:paraId="5CE80E52" w14:textId="77777777" w:rsidR="00195B13" w:rsidRPr="00476EFD" w:rsidRDefault="006A7F3B" w:rsidP="001F38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Results on the capital construction investment in 2023 and the capital construction investment plan for 2024.</w:t>
      </w:r>
    </w:p>
    <w:p w14:paraId="4D7A3668" w14:textId="77777777" w:rsidR="00195B13" w:rsidRPr="00476EFD" w:rsidRDefault="006A7F3B" w:rsidP="001F38B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right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Unit: Billion VND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5"/>
        <w:gridCol w:w="3122"/>
        <w:gridCol w:w="1556"/>
        <w:gridCol w:w="1841"/>
        <w:gridCol w:w="1933"/>
      </w:tblGrid>
      <w:tr w:rsidR="00195B13" w:rsidRPr="00476EFD" w14:paraId="1BBE3254" w14:textId="77777777" w:rsidTr="00476EFD">
        <w:tc>
          <w:tcPr>
            <w:tcW w:w="3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860CB8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A2DFFD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Name of project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77AB06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Plan for</w:t>
            </w:r>
            <w:r w:rsidR="001C186E" w:rsidRPr="00476EFD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476EFD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E8F547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Results in</w:t>
            </w:r>
            <w:r w:rsidR="001C186E" w:rsidRPr="00476EFD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476EFD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164E14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Plan for 2024</w:t>
            </w:r>
          </w:p>
        </w:tc>
      </w:tr>
      <w:tr w:rsidR="00195B13" w:rsidRPr="00476EFD" w14:paraId="112ED887" w14:textId="77777777" w:rsidTr="00476EFD">
        <w:tc>
          <w:tcPr>
            <w:tcW w:w="3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9D8AEB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E7415F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Administrative building project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C3B7D9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0.49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70CD9B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8CA1FA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  <w:tr w:rsidR="00195B13" w:rsidRPr="00476EFD" w14:paraId="1C0C4426" w14:textId="77777777" w:rsidTr="00476EFD">
        <w:tc>
          <w:tcPr>
            <w:tcW w:w="3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356B50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62C5B7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Emissions project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47B54E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3.0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03312D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825BE5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2.876</w:t>
            </w:r>
          </w:p>
        </w:tc>
      </w:tr>
      <w:tr w:rsidR="00195B13" w:rsidRPr="00476EFD" w14:paraId="76ABB6A6" w14:textId="77777777" w:rsidTr="00476EFD">
        <w:tc>
          <w:tcPr>
            <w:tcW w:w="2043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9F251F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5FDC64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3.49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96E921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7A7A1E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2.876</w:t>
            </w:r>
          </w:p>
        </w:tc>
      </w:tr>
    </w:tbl>
    <w:p w14:paraId="348AF1EC" w14:textId="77777777" w:rsidR="00195B13" w:rsidRPr="00476EFD" w:rsidRDefault="006A7F3B" w:rsidP="001F38B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lastRenderedPageBreak/>
        <w:t>Plan on profit distribution in 2023;</w:t>
      </w:r>
    </w:p>
    <w:p w14:paraId="516FA8B3" w14:textId="361015CF" w:rsidR="00195B13" w:rsidRPr="00476EFD" w:rsidRDefault="006A7F3B" w:rsidP="001F38B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The dividend </w:t>
      </w:r>
      <w:r w:rsidR="00476EFD" w:rsidRPr="00476EFD">
        <w:rPr>
          <w:rFonts w:ascii="Arial" w:hAnsi="Arial" w:cs="Arial"/>
          <w:color w:val="010000"/>
          <w:sz w:val="20"/>
        </w:rPr>
        <w:t>payment</w:t>
      </w:r>
      <w:r w:rsidRPr="00476EFD">
        <w:rPr>
          <w:rFonts w:ascii="Arial" w:hAnsi="Arial" w:cs="Arial"/>
          <w:color w:val="010000"/>
          <w:sz w:val="20"/>
        </w:rPr>
        <w:t xml:space="preserve"> rate in cash is 11.02%, specifically:</w:t>
      </w:r>
    </w:p>
    <w:p w14:paraId="43A7BD2F" w14:textId="77777777" w:rsidR="00195B13" w:rsidRPr="00476EFD" w:rsidRDefault="006A7F3B" w:rsidP="001F38B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right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Unit: VND</w:t>
      </w: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4"/>
        <w:gridCol w:w="5672"/>
        <w:gridCol w:w="2721"/>
      </w:tblGrid>
      <w:tr w:rsidR="00195B13" w:rsidRPr="00476EFD" w14:paraId="1081ABE7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118BF8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335F0A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Content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D1FA72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Profit distribution plan in 2023</w:t>
            </w:r>
          </w:p>
        </w:tc>
      </w:tr>
      <w:tr w:rsidR="00195B13" w:rsidRPr="00476EFD" w14:paraId="4E94779A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AC7124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I.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7D6312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Total distributable profits: (1)+(2)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4E8015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717,471,552,679</w:t>
            </w:r>
          </w:p>
        </w:tc>
      </w:tr>
      <w:tr w:rsidR="00195B13" w:rsidRPr="00476EFD" w14:paraId="39E151EC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BD1DD9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2ECB92" w14:textId="024D3CF4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 xml:space="preserve">Profit after tax in 2023 according to the </w:t>
            </w:r>
            <w:r w:rsidR="00476EFD" w:rsidRPr="00476EFD">
              <w:rPr>
                <w:rFonts w:ascii="Arial" w:hAnsi="Arial" w:cs="Arial"/>
                <w:color w:val="010000"/>
                <w:sz w:val="20"/>
              </w:rPr>
              <w:t>Audited Financial Statements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4493A7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441,471,552,679</w:t>
            </w:r>
          </w:p>
        </w:tc>
      </w:tr>
      <w:tr w:rsidR="00195B13" w:rsidRPr="00476EFD" w14:paraId="7F99EE1E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10A5ED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BA2ABF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Reversal from the Development Investment Fund for dividend payment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06BD53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276,000,000,000</w:t>
            </w:r>
          </w:p>
        </w:tc>
      </w:tr>
      <w:tr w:rsidR="00195B13" w:rsidRPr="00476EFD" w14:paraId="2BF79CF9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50F45A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II.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BAF97C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Profit distribution (1)+(2)+(3)+(4)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01ED40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710,260,769,351</w:t>
            </w:r>
          </w:p>
        </w:tc>
      </w:tr>
      <w:tr w:rsidR="00195B13" w:rsidRPr="00476EFD" w14:paraId="1DFB9DAB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4DC583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9F1041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Appropriation for investment and development funds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3F430A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111,985,037,929</w:t>
            </w:r>
          </w:p>
        </w:tc>
      </w:tr>
      <w:tr w:rsidR="00195B13" w:rsidRPr="00476EFD" w14:paraId="02BCE6DE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DC6417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F89E53" w14:textId="2CA1B065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 xml:space="preserve">Appropriation for the employee </w:t>
            </w:r>
            <w:r w:rsidR="00476EFD" w:rsidRPr="00476EFD">
              <w:rPr>
                <w:rFonts w:ascii="Arial" w:hAnsi="Arial" w:cs="Arial"/>
                <w:color w:val="010000"/>
                <w:sz w:val="20"/>
              </w:rPr>
              <w:t>bonus</w:t>
            </w:r>
            <w:r w:rsidRPr="00476EFD">
              <w:rPr>
                <w:rFonts w:ascii="Arial" w:hAnsi="Arial" w:cs="Arial"/>
                <w:color w:val="010000"/>
                <w:sz w:val="20"/>
              </w:rPr>
              <w:t xml:space="preserve"> and welfare fund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DE9311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46,857,579,255</w:t>
            </w:r>
          </w:p>
        </w:tc>
      </w:tr>
      <w:tr w:rsidR="00195B13" w:rsidRPr="00476EFD" w14:paraId="47A90190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F19782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4E2D4D" w14:textId="51F8D321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Appropriation for Managers, Supervisor</w:t>
            </w:r>
            <w:r w:rsidR="00476EFD" w:rsidRPr="00476EFD">
              <w:rPr>
                <w:rFonts w:ascii="Arial" w:hAnsi="Arial" w:cs="Arial"/>
                <w:color w:val="010000"/>
                <w:sz w:val="20"/>
              </w:rPr>
              <w:t>s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2C89A4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418,152,167</w:t>
            </w:r>
          </w:p>
        </w:tc>
      </w:tr>
      <w:tr w:rsidR="00195B13" w:rsidRPr="00476EFD" w14:paraId="12CA6B7B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ADD8DE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657F8F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Dividend payment in cash: 11.02%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DB72A9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551,000,000,000</w:t>
            </w:r>
          </w:p>
        </w:tc>
      </w:tr>
      <w:tr w:rsidR="00195B13" w:rsidRPr="00476EFD" w14:paraId="012A7B10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89F5FE" w14:textId="77777777" w:rsidR="00195B13" w:rsidRPr="00476EFD" w:rsidRDefault="00195B13" w:rsidP="001F38B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AF06D7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In which: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A6196E" w14:textId="77777777" w:rsidR="00195B13" w:rsidRPr="00476EFD" w:rsidRDefault="00195B13" w:rsidP="001F38B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195B13" w:rsidRPr="00476EFD" w14:paraId="3D1C5659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BFD014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4.1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9E831B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 xml:space="preserve">Dividends </w:t>
            </w:r>
            <w:r w:rsidR="001C186E" w:rsidRPr="00476EFD">
              <w:rPr>
                <w:rFonts w:ascii="Arial" w:hAnsi="Arial" w:cs="Arial"/>
                <w:color w:val="010000"/>
                <w:sz w:val="20"/>
              </w:rPr>
              <w:t>prepaid</w:t>
            </w:r>
            <w:r w:rsidRPr="00476EFD">
              <w:rPr>
                <w:rFonts w:ascii="Arial" w:hAnsi="Arial" w:cs="Arial"/>
                <w:color w:val="010000"/>
                <w:sz w:val="20"/>
              </w:rPr>
              <w:t xml:space="preserve"> from the profits of 2023 (4%)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188111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200,000,000,000</w:t>
            </w:r>
          </w:p>
        </w:tc>
      </w:tr>
      <w:tr w:rsidR="00195B13" w:rsidRPr="00476EFD" w14:paraId="5743155E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2960D6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4.2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74B6AD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 xml:space="preserve">Dividends </w:t>
            </w:r>
            <w:r w:rsidR="001C186E" w:rsidRPr="00476EFD">
              <w:rPr>
                <w:rFonts w:ascii="Arial" w:hAnsi="Arial" w:cs="Arial"/>
                <w:color w:val="010000"/>
                <w:sz w:val="20"/>
              </w:rPr>
              <w:t>prepaid</w:t>
            </w:r>
            <w:r w:rsidRPr="00476EFD">
              <w:rPr>
                <w:rFonts w:ascii="Arial" w:hAnsi="Arial" w:cs="Arial"/>
                <w:color w:val="010000"/>
                <w:sz w:val="20"/>
              </w:rPr>
              <w:t xml:space="preserve"> from </w:t>
            </w:r>
            <w:r w:rsidR="001C186E" w:rsidRPr="00476EFD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476EFD">
              <w:rPr>
                <w:rFonts w:ascii="Arial" w:hAnsi="Arial" w:cs="Arial"/>
                <w:color w:val="010000"/>
                <w:sz w:val="20"/>
              </w:rPr>
              <w:t>reversal of the Development Investment Fund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90E8E2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276,000,000,000</w:t>
            </w:r>
          </w:p>
        </w:tc>
      </w:tr>
      <w:tr w:rsidR="00195B13" w:rsidRPr="00476EFD" w14:paraId="4951D4FC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97AD3C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4.3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DDBAD4" w14:textId="76FDF68C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 xml:space="preserve">The remaining dividend </w:t>
            </w:r>
            <w:r w:rsidR="00476EFD" w:rsidRPr="00476EFD">
              <w:rPr>
                <w:rFonts w:ascii="Arial" w:hAnsi="Arial" w:cs="Arial"/>
                <w:color w:val="010000"/>
                <w:sz w:val="20"/>
              </w:rPr>
              <w:t>payment</w:t>
            </w:r>
            <w:r w:rsidRPr="00476EFD">
              <w:rPr>
                <w:rFonts w:ascii="Arial" w:hAnsi="Arial" w:cs="Arial"/>
                <w:color w:val="010000"/>
                <w:sz w:val="20"/>
              </w:rPr>
              <w:t xml:space="preserve"> rate for the year 2024 is 1.5%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551D4C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75,000,000,000</w:t>
            </w:r>
          </w:p>
        </w:tc>
      </w:tr>
      <w:tr w:rsidR="00195B13" w:rsidRPr="00476EFD" w14:paraId="38B2CD2C" w14:textId="77777777" w:rsidTr="00F2789D">
        <w:tc>
          <w:tcPr>
            <w:tcW w:w="3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64A25C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III.</w:t>
            </w:r>
          </w:p>
        </w:tc>
        <w:tc>
          <w:tcPr>
            <w:tcW w:w="31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B582F5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Remaining profit (I-II)</w:t>
            </w:r>
          </w:p>
        </w:tc>
        <w:tc>
          <w:tcPr>
            <w:tcW w:w="15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6DBB2F" w14:textId="77777777" w:rsidR="00195B13" w:rsidRPr="00476EFD" w:rsidRDefault="006A7F3B" w:rsidP="001F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76EFD">
              <w:rPr>
                <w:rFonts w:ascii="Arial" w:hAnsi="Arial" w:cs="Arial"/>
                <w:color w:val="010000"/>
                <w:sz w:val="20"/>
              </w:rPr>
              <w:t>7,210,783,328</w:t>
            </w:r>
          </w:p>
        </w:tc>
      </w:tr>
    </w:tbl>
    <w:p w14:paraId="3E75D552" w14:textId="75F41A81" w:rsidR="00195B13" w:rsidRPr="00476EFD" w:rsidRDefault="006A7F3B" w:rsidP="001F38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Remuneration, sa</w:t>
      </w:r>
      <w:r w:rsidR="000E4A8A" w:rsidRPr="00476EFD">
        <w:rPr>
          <w:rFonts w:ascii="Arial" w:hAnsi="Arial" w:cs="Arial"/>
          <w:color w:val="010000"/>
          <w:sz w:val="20"/>
        </w:rPr>
        <w:t xml:space="preserve">lary of the Board of Directors, and </w:t>
      </w:r>
      <w:r w:rsidR="00476EFD" w:rsidRPr="00476EFD">
        <w:rPr>
          <w:rFonts w:ascii="Arial" w:hAnsi="Arial" w:cs="Arial"/>
          <w:color w:val="010000"/>
          <w:sz w:val="20"/>
        </w:rPr>
        <w:t>the Supervisory Board</w:t>
      </w:r>
      <w:r w:rsidR="000E4A8A" w:rsidRPr="00476EFD">
        <w:rPr>
          <w:rFonts w:ascii="Arial" w:hAnsi="Arial" w:cs="Arial"/>
          <w:color w:val="010000"/>
          <w:sz w:val="20"/>
        </w:rPr>
        <w:t xml:space="preserve"> </w:t>
      </w:r>
      <w:r w:rsidRPr="00476EFD">
        <w:rPr>
          <w:rFonts w:ascii="Arial" w:hAnsi="Arial" w:cs="Arial"/>
          <w:color w:val="010000"/>
          <w:sz w:val="20"/>
        </w:rPr>
        <w:t>in 2023 and the expected total remuneration,</w:t>
      </w:r>
      <w:r w:rsidR="008E13FA" w:rsidRPr="00476EFD">
        <w:rPr>
          <w:rFonts w:ascii="Arial" w:hAnsi="Arial" w:cs="Arial"/>
          <w:color w:val="010000"/>
          <w:sz w:val="20"/>
        </w:rPr>
        <w:t xml:space="preserve"> </w:t>
      </w:r>
      <w:r w:rsidRPr="00476EFD">
        <w:rPr>
          <w:rFonts w:ascii="Arial" w:hAnsi="Arial" w:cs="Arial"/>
          <w:color w:val="010000"/>
          <w:sz w:val="20"/>
        </w:rPr>
        <w:t>salary for 2024.</w:t>
      </w:r>
    </w:p>
    <w:p w14:paraId="49857771" w14:textId="7B6C32BF" w:rsidR="00195B13" w:rsidRPr="00476EFD" w:rsidRDefault="006A7F3B" w:rsidP="001F38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The to</w:t>
      </w:r>
      <w:r w:rsidR="000E4A8A" w:rsidRPr="00476EFD">
        <w:rPr>
          <w:rFonts w:ascii="Arial" w:hAnsi="Arial" w:cs="Arial"/>
          <w:color w:val="010000"/>
          <w:sz w:val="20"/>
        </w:rPr>
        <w:t xml:space="preserve">tal remuneration and salary of </w:t>
      </w:r>
      <w:r w:rsidRPr="00476EFD">
        <w:rPr>
          <w:rFonts w:ascii="Arial" w:hAnsi="Arial" w:cs="Arial"/>
          <w:color w:val="010000"/>
          <w:sz w:val="20"/>
        </w:rPr>
        <w:t>mem</w:t>
      </w:r>
      <w:r w:rsidR="000E4A8A" w:rsidRPr="00476EFD">
        <w:rPr>
          <w:rFonts w:ascii="Arial" w:hAnsi="Arial" w:cs="Arial"/>
          <w:color w:val="010000"/>
          <w:sz w:val="20"/>
        </w:rPr>
        <w:t xml:space="preserve">bers of the Board of Directors and </w:t>
      </w:r>
      <w:r w:rsidR="00476EFD" w:rsidRPr="00476EFD">
        <w:rPr>
          <w:rFonts w:ascii="Arial" w:hAnsi="Arial" w:cs="Arial"/>
          <w:color w:val="010000"/>
          <w:sz w:val="20"/>
        </w:rPr>
        <w:t>the Supervisory Board</w:t>
      </w:r>
      <w:r w:rsidRPr="00476EFD">
        <w:rPr>
          <w:rFonts w:ascii="Arial" w:hAnsi="Arial" w:cs="Arial"/>
          <w:color w:val="010000"/>
          <w:sz w:val="20"/>
        </w:rPr>
        <w:t xml:space="preserve"> in 2023 was: VND 3,253,298,000, specifically as follows:</w:t>
      </w:r>
    </w:p>
    <w:p w14:paraId="2043FCEC" w14:textId="77777777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The salary of the Chair of the Board of Directors: VND 529,356,000.</w:t>
      </w:r>
    </w:p>
    <w:p w14:paraId="6B4ABF86" w14:textId="51C87AEB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The salary of </w:t>
      </w:r>
      <w:r w:rsidR="00476EFD" w:rsidRPr="00476EFD">
        <w:rPr>
          <w:rFonts w:ascii="Arial" w:hAnsi="Arial" w:cs="Arial"/>
          <w:color w:val="010000"/>
          <w:sz w:val="20"/>
        </w:rPr>
        <w:t xml:space="preserve">the </w:t>
      </w:r>
      <w:r w:rsidRPr="00476EFD">
        <w:rPr>
          <w:rFonts w:ascii="Arial" w:hAnsi="Arial" w:cs="Arial"/>
          <w:color w:val="010000"/>
          <w:sz w:val="20"/>
        </w:rPr>
        <w:t xml:space="preserve">General Manager, </w:t>
      </w:r>
      <w:r w:rsidR="000E4A8A" w:rsidRPr="00476EFD">
        <w:rPr>
          <w:rFonts w:ascii="Arial" w:hAnsi="Arial" w:cs="Arial"/>
          <w:color w:val="010000"/>
          <w:sz w:val="20"/>
        </w:rPr>
        <w:t xml:space="preserve">and </w:t>
      </w:r>
      <w:r w:rsidRPr="00476EFD">
        <w:rPr>
          <w:rFonts w:ascii="Arial" w:hAnsi="Arial" w:cs="Arial"/>
          <w:color w:val="010000"/>
          <w:sz w:val="20"/>
        </w:rPr>
        <w:t>members of the Board of Directors: VND 509,748,000.</w:t>
      </w:r>
    </w:p>
    <w:p w14:paraId="2DA2770F" w14:textId="77777777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The salary of executive members of the Board of Directors: VND 901,872,000.</w:t>
      </w:r>
    </w:p>
    <w:p w14:paraId="4CBE4C32" w14:textId="77777777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The salary of non-executive members of the Board of Directors: VND 270,576,000.</w:t>
      </w:r>
    </w:p>
    <w:p w14:paraId="3B7DFA86" w14:textId="3FA50190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The salary of the Chief of </w:t>
      </w:r>
      <w:r w:rsidR="00476EFD" w:rsidRPr="00476EFD">
        <w:rPr>
          <w:rFonts w:ascii="Arial" w:hAnsi="Arial" w:cs="Arial"/>
          <w:color w:val="010000"/>
          <w:sz w:val="20"/>
        </w:rPr>
        <w:t>the Supervisory Board</w:t>
      </w:r>
      <w:r w:rsidRPr="00476EFD">
        <w:rPr>
          <w:rFonts w:ascii="Arial" w:hAnsi="Arial" w:cs="Arial"/>
          <w:color w:val="010000"/>
          <w:sz w:val="20"/>
        </w:rPr>
        <w:t>: VND 470,544,000.</w:t>
      </w:r>
    </w:p>
    <w:p w14:paraId="6B00B0C8" w14:textId="1C199578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The salary of executive members of </w:t>
      </w:r>
      <w:r w:rsidR="00476EFD" w:rsidRPr="00476EFD">
        <w:rPr>
          <w:rFonts w:ascii="Arial" w:hAnsi="Arial" w:cs="Arial"/>
          <w:color w:val="010000"/>
          <w:sz w:val="20"/>
        </w:rPr>
        <w:t>the Supervisory Board</w:t>
      </w:r>
      <w:r w:rsidRPr="00476EFD">
        <w:rPr>
          <w:rFonts w:ascii="Arial" w:hAnsi="Arial" w:cs="Arial"/>
          <w:color w:val="010000"/>
          <w:sz w:val="20"/>
        </w:rPr>
        <w:t>: VND 263,046,000.</w:t>
      </w:r>
    </w:p>
    <w:p w14:paraId="148ADB26" w14:textId="259022CF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The salary of non-executive members of </w:t>
      </w:r>
      <w:r w:rsidR="00476EFD" w:rsidRPr="00476EFD">
        <w:rPr>
          <w:rFonts w:ascii="Arial" w:hAnsi="Arial" w:cs="Arial"/>
          <w:color w:val="010000"/>
          <w:sz w:val="20"/>
        </w:rPr>
        <w:t>the Supervisory Board</w:t>
      </w:r>
      <w:r w:rsidRPr="00476EFD">
        <w:rPr>
          <w:rFonts w:ascii="Arial" w:hAnsi="Arial" w:cs="Arial"/>
          <w:color w:val="010000"/>
          <w:sz w:val="20"/>
        </w:rPr>
        <w:t>: VND 308,156,000</w:t>
      </w:r>
    </w:p>
    <w:p w14:paraId="2E060943" w14:textId="42180969" w:rsidR="00195B13" w:rsidRPr="00476EFD" w:rsidRDefault="006A7F3B" w:rsidP="001F38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lastRenderedPageBreak/>
        <w:t xml:space="preserve">The expected total remuneration and salary plan for members of the Board of Directors and </w:t>
      </w:r>
      <w:r w:rsidR="00476EFD" w:rsidRPr="00476EFD">
        <w:rPr>
          <w:rFonts w:ascii="Arial" w:hAnsi="Arial" w:cs="Arial"/>
          <w:color w:val="010000"/>
          <w:sz w:val="20"/>
        </w:rPr>
        <w:t>the Supervisory Board</w:t>
      </w:r>
      <w:r w:rsidR="000E4A8A" w:rsidRPr="00476EFD">
        <w:rPr>
          <w:rFonts w:ascii="Arial" w:hAnsi="Arial" w:cs="Arial"/>
          <w:color w:val="010000"/>
          <w:sz w:val="20"/>
        </w:rPr>
        <w:t xml:space="preserve"> </w:t>
      </w:r>
      <w:r w:rsidRPr="00476EFD">
        <w:rPr>
          <w:rFonts w:ascii="Arial" w:hAnsi="Arial" w:cs="Arial"/>
          <w:color w:val="010000"/>
          <w:sz w:val="20"/>
        </w:rPr>
        <w:t xml:space="preserve">in 2024 is </w:t>
      </w:r>
      <w:r w:rsidR="000E4A8A" w:rsidRPr="00476EFD">
        <w:rPr>
          <w:rFonts w:ascii="Arial" w:hAnsi="Arial" w:cs="Arial"/>
          <w:color w:val="010000"/>
          <w:sz w:val="20"/>
        </w:rPr>
        <w:t xml:space="preserve">VND </w:t>
      </w:r>
      <w:r w:rsidRPr="00476EFD">
        <w:rPr>
          <w:rFonts w:ascii="Arial" w:hAnsi="Arial" w:cs="Arial"/>
          <w:color w:val="010000"/>
          <w:sz w:val="20"/>
        </w:rPr>
        <w:t>4,311,000,000, broken down as follows:</w:t>
      </w:r>
    </w:p>
    <w:p w14:paraId="389E1B9E" w14:textId="77777777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The salary of the Chair of the Board of Directors: VND 729,000,000</w:t>
      </w:r>
    </w:p>
    <w:p w14:paraId="249652CB" w14:textId="77777777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The salary of the General Manager, </w:t>
      </w:r>
      <w:r w:rsidR="000E4A8A" w:rsidRPr="00476EFD">
        <w:rPr>
          <w:rFonts w:ascii="Arial" w:hAnsi="Arial" w:cs="Arial"/>
          <w:color w:val="010000"/>
          <w:sz w:val="20"/>
        </w:rPr>
        <w:t xml:space="preserve">and </w:t>
      </w:r>
      <w:r w:rsidRPr="00476EFD">
        <w:rPr>
          <w:rFonts w:ascii="Arial" w:hAnsi="Arial" w:cs="Arial"/>
          <w:color w:val="010000"/>
          <w:sz w:val="20"/>
        </w:rPr>
        <w:t>members of the Board of Directors: VND 702,000,000</w:t>
      </w:r>
    </w:p>
    <w:p w14:paraId="35F2F9C8" w14:textId="77777777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The salary of executive members of the Board of Directors: VND 1,035,000,000</w:t>
      </w:r>
    </w:p>
    <w:p w14:paraId="456544CC" w14:textId="77777777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The salary of non-executive members of the Board of Directors: VND 288,000,000</w:t>
      </w:r>
    </w:p>
    <w:p w14:paraId="590D2977" w14:textId="0AB8A3EF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The salary of the Chief of </w:t>
      </w:r>
      <w:r w:rsidR="00476EFD" w:rsidRPr="00476EFD">
        <w:rPr>
          <w:rFonts w:ascii="Arial" w:hAnsi="Arial" w:cs="Arial"/>
          <w:color w:val="010000"/>
          <w:sz w:val="20"/>
        </w:rPr>
        <w:t>the Supervisory Board</w:t>
      </w:r>
      <w:r w:rsidRPr="00476EFD">
        <w:rPr>
          <w:rFonts w:ascii="Arial" w:hAnsi="Arial" w:cs="Arial"/>
          <w:color w:val="010000"/>
          <w:sz w:val="20"/>
        </w:rPr>
        <w:t>: VND 648,000,000</w:t>
      </w:r>
    </w:p>
    <w:p w14:paraId="68FC8E86" w14:textId="06ADD583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The salary of executive members of </w:t>
      </w:r>
      <w:r w:rsidR="00476EFD" w:rsidRPr="00476EFD">
        <w:rPr>
          <w:rFonts w:ascii="Arial" w:hAnsi="Arial" w:cs="Arial"/>
          <w:color w:val="010000"/>
          <w:sz w:val="20"/>
        </w:rPr>
        <w:t>the Supervisory Board</w:t>
      </w:r>
      <w:r w:rsidRPr="00476EFD">
        <w:rPr>
          <w:rFonts w:ascii="Arial" w:hAnsi="Arial" w:cs="Arial"/>
          <w:color w:val="010000"/>
          <w:sz w:val="20"/>
        </w:rPr>
        <w:t>: VND 621,000,000</w:t>
      </w:r>
    </w:p>
    <w:p w14:paraId="3BF491C8" w14:textId="423ABB12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The salary of non-executive members of </w:t>
      </w:r>
      <w:r w:rsidR="00476EFD" w:rsidRPr="00476EFD">
        <w:rPr>
          <w:rFonts w:ascii="Arial" w:hAnsi="Arial" w:cs="Arial"/>
          <w:color w:val="010000"/>
          <w:sz w:val="20"/>
        </w:rPr>
        <w:t>the Supervisory Board</w:t>
      </w:r>
      <w:r w:rsidRPr="00476EFD">
        <w:rPr>
          <w:rFonts w:ascii="Arial" w:hAnsi="Arial" w:cs="Arial"/>
          <w:color w:val="010000"/>
          <w:sz w:val="20"/>
        </w:rPr>
        <w:t>: VND 288,000,000</w:t>
      </w:r>
    </w:p>
    <w:p w14:paraId="30897D19" w14:textId="77777777" w:rsidR="00195B13" w:rsidRPr="00476EFD" w:rsidRDefault="006A7F3B" w:rsidP="001F38BA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9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Report from the Board of Directors:</w:t>
      </w:r>
    </w:p>
    <w:p w14:paraId="259100F3" w14:textId="01BAEFA5" w:rsidR="00195B13" w:rsidRPr="00476EFD" w:rsidRDefault="00476EFD" w:rsidP="001F38B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R</w:t>
      </w:r>
      <w:r w:rsidR="006A7F3B" w:rsidRPr="00476EFD">
        <w:rPr>
          <w:rFonts w:ascii="Arial" w:hAnsi="Arial" w:cs="Arial"/>
          <w:color w:val="010000"/>
          <w:sz w:val="20"/>
        </w:rPr>
        <w:t xml:space="preserve">eport on the activities of the Board of Directors of Hai </w:t>
      </w:r>
      <w:proofErr w:type="spellStart"/>
      <w:r w:rsidR="006A7F3B" w:rsidRPr="00476EFD">
        <w:rPr>
          <w:rFonts w:ascii="Arial" w:hAnsi="Arial" w:cs="Arial"/>
          <w:color w:val="010000"/>
          <w:sz w:val="20"/>
        </w:rPr>
        <w:t>Phong</w:t>
      </w:r>
      <w:proofErr w:type="spellEnd"/>
      <w:r w:rsidR="006A7F3B" w:rsidRPr="00476EFD">
        <w:rPr>
          <w:rFonts w:ascii="Arial" w:hAnsi="Arial" w:cs="Arial"/>
          <w:color w:val="010000"/>
          <w:sz w:val="20"/>
        </w:rPr>
        <w:t xml:space="preserve"> Thermal Power Joint Stock Company in 2023 and the direction of activities in 2024.</w:t>
      </w:r>
    </w:p>
    <w:p w14:paraId="46DE2E16" w14:textId="21AEF327" w:rsidR="00195B13" w:rsidRPr="00476EFD" w:rsidRDefault="006A7F3B" w:rsidP="001F38BA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9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Report of </w:t>
      </w:r>
      <w:r w:rsidR="00476EFD" w:rsidRPr="00476EFD">
        <w:rPr>
          <w:rFonts w:ascii="Arial" w:hAnsi="Arial" w:cs="Arial"/>
          <w:color w:val="010000"/>
          <w:sz w:val="20"/>
        </w:rPr>
        <w:t>the Supervisory Board</w:t>
      </w:r>
      <w:r w:rsidRPr="00476EFD">
        <w:rPr>
          <w:rFonts w:ascii="Arial" w:hAnsi="Arial" w:cs="Arial"/>
          <w:color w:val="010000"/>
          <w:sz w:val="20"/>
        </w:rPr>
        <w:t>:</w:t>
      </w:r>
    </w:p>
    <w:p w14:paraId="549AEA97" w14:textId="1AC0902F" w:rsidR="00195B13" w:rsidRPr="00476EFD" w:rsidRDefault="006A7F3B" w:rsidP="001F38B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Report on the activities of </w:t>
      </w:r>
      <w:r w:rsidR="00476EFD" w:rsidRPr="00476EFD">
        <w:rPr>
          <w:rFonts w:ascii="Arial" w:hAnsi="Arial" w:cs="Arial"/>
          <w:color w:val="010000"/>
          <w:sz w:val="20"/>
        </w:rPr>
        <w:t>the Supervisory Board</w:t>
      </w:r>
      <w:r w:rsidR="000E4A8A" w:rsidRPr="00476EFD">
        <w:rPr>
          <w:rFonts w:ascii="Arial" w:hAnsi="Arial" w:cs="Arial"/>
          <w:color w:val="010000"/>
          <w:sz w:val="20"/>
        </w:rPr>
        <w:t xml:space="preserve"> </w:t>
      </w:r>
      <w:r w:rsidRPr="00476EFD">
        <w:rPr>
          <w:rFonts w:ascii="Arial" w:hAnsi="Arial" w:cs="Arial"/>
          <w:color w:val="010000"/>
          <w:sz w:val="20"/>
        </w:rPr>
        <w:t>in 2023 and the direction of activities in 2024.</w:t>
      </w:r>
    </w:p>
    <w:p w14:paraId="56269293" w14:textId="14C84F4F" w:rsidR="00195B13" w:rsidRPr="00476EFD" w:rsidRDefault="006A7F3B" w:rsidP="001F38BA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9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Select an audit company for the </w:t>
      </w:r>
      <w:r w:rsidR="00476EFD" w:rsidRPr="00476EFD">
        <w:rPr>
          <w:rFonts w:ascii="Arial" w:hAnsi="Arial" w:cs="Arial"/>
          <w:color w:val="010000"/>
          <w:sz w:val="20"/>
        </w:rPr>
        <w:t>Financial Statements</w:t>
      </w:r>
      <w:r w:rsidRPr="00476EFD">
        <w:rPr>
          <w:rFonts w:ascii="Arial" w:hAnsi="Arial" w:cs="Arial"/>
          <w:color w:val="010000"/>
          <w:sz w:val="20"/>
        </w:rPr>
        <w:t xml:space="preserve"> 2024;</w:t>
      </w:r>
    </w:p>
    <w:p w14:paraId="20D1E493" w14:textId="7B8835A0" w:rsidR="00195B13" w:rsidRPr="00476EFD" w:rsidRDefault="006A7F3B" w:rsidP="001F38B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Approve </w:t>
      </w:r>
      <w:r w:rsidR="000E4A8A" w:rsidRPr="00476EFD">
        <w:rPr>
          <w:rFonts w:ascii="Arial" w:hAnsi="Arial" w:cs="Arial"/>
          <w:color w:val="010000"/>
          <w:sz w:val="20"/>
        </w:rPr>
        <w:t xml:space="preserve">and </w:t>
      </w:r>
      <w:r w:rsidRPr="00476EFD">
        <w:rPr>
          <w:rFonts w:ascii="Arial" w:hAnsi="Arial" w:cs="Arial"/>
          <w:color w:val="010000"/>
          <w:sz w:val="20"/>
        </w:rPr>
        <w:t xml:space="preserve">present to the Annual </w:t>
      </w:r>
      <w:r w:rsidR="00476EFD" w:rsidRPr="00476EFD">
        <w:rPr>
          <w:rFonts w:ascii="Arial" w:hAnsi="Arial" w:cs="Arial"/>
          <w:color w:val="010000"/>
          <w:sz w:val="20"/>
        </w:rPr>
        <w:t>General Meeting of Shareholders</w:t>
      </w:r>
      <w:r w:rsidRPr="00476EFD">
        <w:rPr>
          <w:rFonts w:ascii="Arial" w:hAnsi="Arial" w:cs="Arial"/>
          <w:color w:val="010000"/>
          <w:sz w:val="20"/>
        </w:rPr>
        <w:t xml:space="preserve"> according to the proposal of the Company's </w:t>
      </w:r>
      <w:r w:rsidR="00476EFD" w:rsidRPr="00476EFD">
        <w:rPr>
          <w:rFonts w:ascii="Arial" w:hAnsi="Arial" w:cs="Arial"/>
          <w:color w:val="010000"/>
          <w:sz w:val="20"/>
        </w:rPr>
        <w:t>Supervisory Board</w:t>
      </w:r>
      <w:r w:rsidRPr="00476EFD">
        <w:rPr>
          <w:rFonts w:ascii="Arial" w:hAnsi="Arial" w:cs="Arial"/>
          <w:color w:val="010000"/>
          <w:sz w:val="20"/>
        </w:rPr>
        <w:t>.</w:t>
      </w:r>
    </w:p>
    <w:p w14:paraId="2F3AA6B5" w14:textId="3FE12D2E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Approve the list of audit companies for the </w:t>
      </w:r>
      <w:r w:rsidR="00476EFD" w:rsidRPr="00476EFD">
        <w:rPr>
          <w:rFonts w:ascii="Arial" w:hAnsi="Arial" w:cs="Arial"/>
          <w:color w:val="010000"/>
          <w:sz w:val="20"/>
        </w:rPr>
        <w:t>Financial Statements</w:t>
      </w:r>
      <w:r w:rsidRPr="00476EFD">
        <w:rPr>
          <w:rFonts w:ascii="Arial" w:hAnsi="Arial" w:cs="Arial"/>
          <w:color w:val="010000"/>
          <w:sz w:val="20"/>
        </w:rPr>
        <w:t xml:space="preserve"> 2024 of the Company, which are independent audit companies from the List of audit companies approved to conduct audits for entities of public interest in 2024.</w:t>
      </w:r>
    </w:p>
    <w:p w14:paraId="781A3648" w14:textId="5611CA37" w:rsidR="00195B13" w:rsidRPr="00476EFD" w:rsidRDefault="006A7F3B" w:rsidP="001F38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 xml:space="preserve">Assign the Board of Directors of the Company to carry out the procedures for selecting the audit company for the </w:t>
      </w:r>
      <w:r w:rsidR="00476EFD" w:rsidRPr="00476EFD">
        <w:rPr>
          <w:rFonts w:ascii="Arial" w:hAnsi="Arial" w:cs="Arial"/>
          <w:color w:val="010000"/>
          <w:sz w:val="20"/>
        </w:rPr>
        <w:t>Financial Statements</w:t>
      </w:r>
      <w:r w:rsidRPr="00476EFD">
        <w:rPr>
          <w:rFonts w:ascii="Arial" w:hAnsi="Arial" w:cs="Arial"/>
          <w:color w:val="010000"/>
          <w:sz w:val="20"/>
        </w:rPr>
        <w:t xml:space="preserve"> 2024 in accordance with legal regulations.</w:t>
      </w:r>
    </w:p>
    <w:p w14:paraId="20A161C4" w14:textId="77777777" w:rsidR="00195B13" w:rsidRPr="00476EFD" w:rsidRDefault="006A7F3B" w:rsidP="001F38B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76EFD">
        <w:rPr>
          <w:rFonts w:ascii="Arial" w:hAnsi="Arial" w:cs="Arial"/>
          <w:color w:val="010000"/>
          <w:sz w:val="20"/>
        </w:rPr>
        <w:t>‎‎Article 2. Members of the Board of Directors, the General Manager of the Company are responsible for implementing this Resolution.</w:t>
      </w:r>
    </w:p>
    <w:sectPr w:rsidR="00195B13" w:rsidRPr="00476EFD" w:rsidSect="001F38B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D8B"/>
    <w:multiLevelType w:val="multilevel"/>
    <w:tmpl w:val="11D211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BF1CF8"/>
    <w:multiLevelType w:val="multilevel"/>
    <w:tmpl w:val="A8985E7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F1FB6"/>
    <w:multiLevelType w:val="multilevel"/>
    <w:tmpl w:val="405A342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1609FF"/>
    <w:multiLevelType w:val="multilevel"/>
    <w:tmpl w:val="2C96E02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5A06"/>
    <w:multiLevelType w:val="multilevel"/>
    <w:tmpl w:val="C068FB0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E3003EA"/>
    <w:multiLevelType w:val="multilevel"/>
    <w:tmpl w:val="9EAA6B6C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13"/>
    <w:rsid w:val="000E4A8A"/>
    <w:rsid w:val="00195B13"/>
    <w:rsid w:val="001C186E"/>
    <w:rsid w:val="001F38BA"/>
    <w:rsid w:val="00476EFD"/>
    <w:rsid w:val="006A7F3B"/>
    <w:rsid w:val="008E13FA"/>
    <w:rsid w:val="00F2789D"/>
    <w:rsid w:val="00F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DE299"/>
  <w15:docId w15:val="{AC3413DF-3E84-445E-915A-6084677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62" w:lineRule="auto"/>
      <w:ind w:firstLine="77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74" w:lineRule="auto"/>
      <w:ind w:firstLine="3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Khc0">
    <w:name w:val="Khác"/>
    <w:basedOn w:val="Normal"/>
    <w:link w:val="Khc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3d2ThubYPxANqyjRglAtB0e5Nw==">CgMxLjA4AHIhMVJpcXA1NS1CSG11RWlkMDBkU3JQNTBHdDV1MldwS2Iz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11</cp:revision>
  <dcterms:created xsi:type="dcterms:W3CDTF">2024-05-14T03:21:00Z</dcterms:created>
  <dcterms:modified xsi:type="dcterms:W3CDTF">2024-05-15T07:31:00Z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1520ee583d8ae3c67acd838c9614a1bb78103bf228ca5947c4204c1d78b39d70</vt:lpwstr>
  </property>
</Properties>
</file>