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6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16578">
        <w:rPr>
          <w:rFonts w:ascii="Arial" w:hAnsi="Arial" w:cs="Arial"/>
          <w:b/>
          <w:color w:val="010000"/>
          <w:sz w:val="20"/>
        </w:rPr>
        <w:t>MBN: Board Resolution</w:t>
      </w:r>
    </w:p>
    <w:p w14:paraId="00000002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On May 9, 2024, Bac Ninh Urban Environment And Public Works Joint Stock Company announced Resolution No. 02/2024/NQ-HDQT as follows:</w:t>
      </w:r>
    </w:p>
    <w:p w14:paraId="00000003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‎‎Article 1. Approve:</w:t>
      </w:r>
    </w:p>
    <w:p w14:paraId="00000004" w14:textId="77777777" w:rsidR="00E552B2" w:rsidRPr="00316578" w:rsidRDefault="00D04A42" w:rsidP="00C67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The organization of the Annual General Meeting of Shareholders 2024, as follows:</w:t>
      </w:r>
    </w:p>
    <w:p w14:paraId="00000005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+ Record date for the list of the shareholders to attend the Annual General Meeting of Shareholders 2024: May 31, 2024;</w:t>
      </w:r>
    </w:p>
    <w:p w14:paraId="00000006" w14:textId="55939142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+ Exercise rate: 1:1 (1 share - 1 voting right</w:t>
      </w:r>
      <w:r w:rsidR="002620C1">
        <w:rPr>
          <w:rFonts w:ascii="Arial" w:hAnsi="Arial" w:cs="Arial"/>
          <w:color w:val="010000"/>
          <w:sz w:val="20"/>
        </w:rPr>
        <w:t>s</w:t>
      </w:r>
      <w:bookmarkStart w:id="0" w:name="_GoBack"/>
      <w:bookmarkEnd w:id="0"/>
    </w:p>
    <w:p w14:paraId="00000007" w14:textId="114FC6C9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+ Meeting Time: June 29, 2024 (</w:t>
      </w:r>
      <w:r w:rsidR="00B11DF9" w:rsidRPr="00316578">
        <w:rPr>
          <w:rFonts w:ascii="Arial" w:hAnsi="Arial" w:cs="Arial"/>
          <w:color w:val="010000"/>
          <w:sz w:val="20"/>
        </w:rPr>
        <w:t>expected</w:t>
      </w:r>
      <w:r w:rsidRPr="00316578">
        <w:rPr>
          <w:rFonts w:ascii="Arial" w:hAnsi="Arial" w:cs="Arial"/>
          <w:color w:val="010000"/>
          <w:sz w:val="20"/>
        </w:rPr>
        <w:t>)</w:t>
      </w:r>
    </w:p>
    <w:p w14:paraId="00000008" w14:textId="0D318839" w:rsidR="00E552B2" w:rsidRPr="00316578" w:rsidRDefault="00B11DF9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 xml:space="preserve">+ </w:t>
      </w:r>
      <w:r w:rsidR="00D04A42" w:rsidRPr="00316578">
        <w:rPr>
          <w:rFonts w:ascii="Arial" w:hAnsi="Arial" w:cs="Arial"/>
          <w:color w:val="010000"/>
          <w:sz w:val="20"/>
        </w:rPr>
        <w:t>Venue to hold the Meeting: To be announced.</w:t>
      </w:r>
    </w:p>
    <w:p w14:paraId="00000009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+ Meeting contents:</w:t>
      </w:r>
    </w:p>
    <w:p w14:paraId="0000000A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Report on activities of the Board of Directors in 2023 and the plan for 2024.</w:t>
      </w:r>
    </w:p>
    <w:p w14:paraId="0000000B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Report on the production and business results in 2023 - Plan for 2024.</w:t>
      </w:r>
    </w:p>
    <w:p w14:paraId="0000000C" w14:textId="22DA103A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 xml:space="preserve">Report on the activities of the </w:t>
      </w:r>
      <w:r w:rsidR="00B11DF9" w:rsidRPr="00316578">
        <w:rPr>
          <w:rFonts w:ascii="Arial" w:hAnsi="Arial" w:cs="Arial"/>
          <w:color w:val="010000"/>
          <w:sz w:val="20"/>
        </w:rPr>
        <w:t xml:space="preserve">Supervisory </w:t>
      </w:r>
      <w:r w:rsidRPr="00316578">
        <w:rPr>
          <w:rFonts w:ascii="Arial" w:hAnsi="Arial" w:cs="Arial"/>
          <w:color w:val="010000"/>
          <w:sz w:val="20"/>
        </w:rPr>
        <w:t>Board and assessment of the operational results of the Board of Directors, as well as the Manager 2023 and operational plan of the Supervisory Board 2024.</w:t>
      </w:r>
    </w:p>
    <w:p w14:paraId="0000000D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Approve the Audited Financial Statements 2023.</w:t>
      </w:r>
    </w:p>
    <w:p w14:paraId="0000000E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Approve the plan on profit distribution and dividend payment in 2023.</w:t>
      </w:r>
    </w:p>
    <w:p w14:paraId="0000000F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Remuneration for the Board of Directors, the Supervisory Board, the Board of Managers, and the Company Secretariat 2023, and the plan for 2024.</w:t>
      </w:r>
    </w:p>
    <w:p w14:paraId="00000010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Selection of an audit company for the Financial Statements 2024.</w:t>
      </w:r>
    </w:p>
    <w:p w14:paraId="00000011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Other contents under the authority of the General Meeting of Shareholders.</w:t>
      </w:r>
    </w:p>
    <w:p w14:paraId="00000012" w14:textId="77777777" w:rsidR="00E552B2" w:rsidRPr="00316578" w:rsidRDefault="00D04A42" w:rsidP="00C67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Projected budget for severance pay.</w:t>
      </w:r>
    </w:p>
    <w:p w14:paraId="00000013" w14:textId="77777777" w:rsidR="00E552B2" w:rsidRPr="00316578" w:rsidRDefault="00D04A42" w:rsidP="00C67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Dismissal: Mr. Nguyen The Tuan</w:t>
      </w:r>
    </w:p>
    <w:p w14:paraId="00000014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No longer undertaking the responsibilities of the person in charge of corporate governance cum Company Secretary, the authorized person for information disclosure.</w:t>
      </w:r>
    </w:p>
    <w:p w14:paraId="00000015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Reason: Transfer to a different job role.</w:t>
      </w:r>
    </w:p>
    <w:p w14:paraId="00000016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Effective date: May 09, 2024.</w:t>
      </w:r>
    </w:p>
    <w:p w14:paraId="00000017" w14:textId="77777777" w:rsidR="00E552B2" w:rsidRPr="00316578" w:rsidRDefault="00D04A42" w:rsidP="00C67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Appointment: Mr. Nguyen Truong Giang</w:t>
      </w:r>
    </w:p>
    <w:p w14:paraId="00000018" w14:textId="1B4B7533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Previous Position:</w:t>
      </w:r>
      <w:r w:rsidR="00C67DAA" w:rsidRPr="00316578">
        <w:rPr>
          <w:rFonts w:ascii="Arial" w:hAnsi="Arial" w:cs="Arial"/>
          <w:color w:val="010000"/>
          <w:sz w:val="20"/>
        </w:rPr>
        <w:t xml:space="preserve"> </w:t>
      </w:r>
      <w:r w:rsidRPr="00316578">
        <w:rPr>
          <w:rFonts w:ascii="Arial" w:hAnsi="Arial" w:cs="Arial"/>
          <w:color w:val="010000"/>
          <w:sz w:val="20"/>
        </w:rPr>
        <w:t>Head of Organizational - Administrative Department.</w:t>
      </w:r>
    </w:p>
    <w:p w14:paraId="00000019" w14:textId="14E095FF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Appointed Position: The person in charge of corporate governance</w:t>
      </w:r>
      <w:r w:rsidR="00316578" w:rsidRPr="00316578">
        <w:rPr>
          <w:rFonts w:ascii="Arial" w:hAnsi="Arial" w:cs="Arial"/>
          <w:color w:val="010000"/>
          <w:sz w:val="20"/>
        </w:rPr>
        <w:t>-</w:t>
      </w:r>
      <w:r w:rsidRPr="00316578">
        <w:rPr>
          <w:rFonts w:ascii="Arial" w:hAnsi="Arial" w:cs="Arial"/>
          <w:color w:val="010000"/>
          <w:sz w:val="20"/>
        </w:rPr>
        <w:t>cum</w:t>
      </w:r>
      <w:r w:rsidR="00316578" w:rsidRPr="00316578">
        <w:rPr>
          <w:rFonts w:ascii="Arial" w:hAnsi="Arial" w:cs="Arial"/>
          <w:color w:val="010000"/>
          <w:sz w:val="20"/>
        </w:rPr>
        <w:t>-</w:t>
      </w:r>
      <w:r w:rsidRPr="00316578">
        <w:rPr>
          <w:rFonts w:ascii="Arial" w:hAnsi="Arial" w:cs="Arial"/>
          <w:color w:val="010000"/>
          <w:sz w:val="20"/>
        </w:rPr>
        <w:t>Company Secretar</w:t>
      </w:r>
      <w:r w:rsidR="00316578" w:rsidRPr="00316578">
        <w:rPr>
          <w:rFonts w:ascii="Arial" w:hAnsi="Arial" w:cs="Arial"/>
          <w:color w:val="010000"/>
          <w:sz w:val="20"/>
        </w:rPr>
        <w:t>iat</w:t>
      </w:r>
      <w:r w:rsidRPr="00316578">
        <w:rPr>
          <w:rFonts w:ascii="Arial" w:hAnsi="Arial" w:cs="Arial"/>
          <w:color w:val="010000"/>
          <w:sz w:val="20"/>
        </w:rPr>
        <w:t>, Head of Organizational - Administrative Department.</w:t>
      </w:r>
    </w:p>
    <w:p w14:paraId="0000001A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lastRenderedPageBreak/>
        <w:t>Duration: Board of Directors tenure (2022-2027).</w:t>
      </w:r>
    </w:p>
    <w:p w14:paraId="0000001B" w14:textId="77777777" w:rsidR="00E552B2" w:rsidRPr="00316578" w:rsidRDefault="00D04A42" w:rsidP="00C67D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Effective date: May 09, 2024.</w:t>
      </w:r>
    </w:p>
    <w:p w14:paraId="0000001C" w14:textId="77777777" w:rsidR="00E552B2" w:rsidRPr="00316578" w:rsidRDefault="00D04A42" w:rsidP="00C67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Evaluate and classify the representative of state capital at the company in 2023, for Mr. Nguyen Dinh Thu.</w:t>
      </w:r>
    </w:p>
    <w:p w14:paraId="0000001D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Classification assessment: Basic completion of tasks.</w:t>
      </w:r>
    </w:p>
    <w:p w14:paraId="0000001E" w14:textId="67EC9855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‎‎Article 2. Assign the Executive Board to conduct research on the planning of the land area and propose to the Board of Directors the leasing of land at the address:</w:t>
      </w:r>
      <w:r w:rsidR="00C67DAA" w:rsidRPr="00316578">
        <w:rPr>
          <w:rFonts w:ascii="Arial" w:hAnsi="Arial" w:cs="Arial"/>
          <w:color w:val="010000"/>
          <w:sz w:val="20"/>
        </w:rPr>
        <w:t xml:space="preserve"> </w:t>
      </w:r>
      <w:r w:rsidRPr="00316578">
        <w:rPr>
          <w:rFonts w:ascii="Arial" w:hAnsi="Arial" w:cs="Arial"/>
          <w:color w:val="010000"/>
          <w:sz w:val="20"/>
        </w:rPr>
        <w:t>Lac Long Quan Street, Vu Ninh Ward, Bac Ninh City, at the nearest Meeting.</w:t>
      </w:r>
    </w:p>
    <w:p w14:paraId="0000001F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‎‎Article 3. The Board of Directors assigns the Chair of the Board of Directors/General Manager of the company, according to their authority, to direct related units to implement in accordance with the provisions of the law and the company’s charter.</w:t>
      </w:r>
    </w:p>
    <w:p w14:paraId="00000020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‎‎Article 4. This Resolution takes effect from the date of its signing.</w:t>
      </w:r>
    </w:p>
    <w:p w14:paraId="00000021" w14:textId="77777777" w:rsidR="00E552B2" w:rsidRPr="00316578" w:rsidRDefault="00D04A42" w:rsidP="00C67D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16578">
        <w:rPr>
          <w:rFonts w:ascii="Arial" w:hAnsi="Arial" w:cs="Arial"/>
          <w:color w:val="010000"/>
          <w:sz w:val="20"/>
        </w:rPr>
        <w:t>Members of the Board of Directors, the Board of Managers of the Company and relevant units and individuals are responsible for the implementation of this Resolution.</w:t>
      </w:r>
    </w:p>
    <w:sectPr w:rsidR="00E552B2" w:rsidRPr="00316578" w:rsidSect="00C67DA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95EBF"/>
    <w:multiLevelType w:val="multilevel"/>
    <w:tmpl w:val="211C89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83241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7E03D6"/>
    <w:multiLevelType w:val="multilevel"/>
    <w:tmpl w:val="943C2F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8324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B2"/>
    <w:rsid w:val="002620C1"/>
    <w:rsid w:val="00316578"/>
    <w:rsid w:val="00B11DF9"/>
    <w:rsid w:val="00C67DAA"/>
    <w:rsid w:val="00D04A42"/>
    <w:rsid w:val="00E5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E3E92"/>
  <w15:docId w15:val="{B1CA6EFF-3992-424F-AD37-4842741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3241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3241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C94662"/>
      <w:w w:val="6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94662"/>
      <w:sz w:val="22"/>
      <w:szCs w:val="22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7" w:lineRule="auto"/>
      <w:ind w:firstLine="720"/>
    </w:pPr>
    <w:rPr>
      <w:rFonts w:ascii="Times New Roman" w:eastAsia="Times New Roman" w:hAnsi="Times New Roman" w:cs="Times New Roman"/>
      <w:color w:val="283241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264" w:lineRule="auto"/>
      <w:ind w:firstLine="400"/>
    </w:pPr>
    <w:rPr>
      <w:rFonts w:ascii="Times New Roman" w:eastAsia="Times New Roman" w:hAnsi="Times New Roman" w:cs="Times New Roman"/>
      <w:color w:val="283241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color w:val="C94662"/>
      <w:w w:val="60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ind w:firstLine="380"/>
    </w:pPr>
    <w:rPr>
      <w:rFonts w:ascii="Times New Roman" w:eastAsia="Times New Roman" w:hAnsi="Times New Roman" w:cs="Times New Roman"/>
      <w:color w:val="C94662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TdOZ7qTOdwA/mCHMAugHKlc6g==">CgMxLjA4AHIhMWlPWHY5RmtQRVp4bFM5QTVRZWZkRmROZUNNNW85Nm4w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2024-05-14T03:35:00Z</dcterms:created>
  <dcterms:modified xsi:type="dcterms:W3CDTF">2024-05-14T03:35:00Z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ef146c8592c293b78dd4c442d4cc2d79c24b187bae301d603b05c5596848cab1</vt:lpwstr>
  </property>
</Properties>
</file>