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4533" w:rsidRPr="00B2396B" w:rsidRDefault="00F344BE" w:rsidP="00FD4D9F">
      <w:pPr>
        <w:pBdr>
          <w:top w:val="nil"/>
          <w:left w:val="nil"/>
          <w:bottom w:val="nil"/>
          <w:right w:val="nil"/>
          <w:between w:val="nil"/>
        </w:pBdr>
        <w:tabs>
          <w:tab w:val="left" w:pos="360"/>
          <w:tab w:val="left" w:pos="450"/>
          <w:tab w:val="left" w:pos="540"/>
          <w:tab w:val="left" w:pos="630"/>
          <w:tab w:val="left" w:pos="5275"/>
        </w:tabs>
        <w:spacing w:after="120" w:line="360" w:lineRule="auto"/>
        <w:jc w:val="both"/>
        <w:rPr>
          <w:rFonts w:ascii="Arial" w:eastAsia="Arial" w:hAnsi="Arial" w:cs="Arial"/>
          <w:b/>
          <w:color w:val="010000"/>
          <w:sz w:val="20"/>
          <w:szCs w:val="20"/>
        </w:rPr>
      </w:pPr>
      <w:r w:rsidRPr="00B2396B">
        <w:rPr>
          <w:rFonts w:ascii="Arial" w:hAnsi="Arial" w:cs="Arial"/>
          <w:b/>
          <w:color w:val="010000"/>
          <w:sz w:val="20"/>
        </w:rPr>
        <w:t xml:space="preserve">QHD: Board Resolution </w:t>
      </w:r>
    </w:p>
    <w:p w14:paraId="00000002" w14:textId="6EF2A887" w:rsidR="00634533" w:rsidRPr="00B2396B" w:rsidRDefault="00F344BE" w:rsidP="00FD4D9F">
      <w:pPr>
        <w:pBdr>
          <w:top w:val="nil"/>
          <w:left w:val="nil"/>
          <w:bottom w:val="nil"/>
          <w:right w:val="nil"/>
          <w:between w:val="nil"/>
        </w:pBdr>
        <w:tabs>
          <w:tab w:val="left" w:pos="360"/>
          <w:tab w:val="left" w:pos="450"/>
          <w:tab w:val="left" w:pos="540"/>
          <w:tab w:val="left" w:pos="630"/>
          <w:tab w:val="left" w:pos="5275"/>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On May 9, 2024, </w:t>
      </w:r>
      <w:r w:rsidR="00FD4D9F">
        <w:rPr>
          <w:rFonts w:ascii="Arial" w:hAnsi="Arial" w:cs="Arial"/>
          <w:color w:val="010000"/>
          <w:sz w:val="20"/>
        </w:rPr>
        <w:t>Viet-</w:t>
      </w:r>
      <w:proofErr w:type="spellStart"/>
      <w:r w:rsidR="00FD4D9F">
        <w:rPr>
          <w:rFonts w:ascii="Arial" w:hAnsi="Arial" w:cs="Arial"/>
          <w:color w:val="010000"/>
          <w:sz w:val="20"/>
        </w:rPr>
        <w:t>Duc</w:t>
      </w:r>
      <w:proofErr w:type="spellEnd"/>
      <w:r w:rsidRPr="00B2396B">
        <w:rPr>
          <w:rFonts w:ascii="Arial" w:hAnsi="Arial" w:cs="Arial"/>
          <w:color w:val="010000"/>
          <w:sz w:val="20"/>
        </w:rPr>
        <w:t xml:space="preserve"> Welding Electrode Joint Stock Company announced Resolution No. 94/NQ - HDQT on approving the production and business plan, loan arrangement, and credit supply assurance at </w:t>
      </w:r>
      <w:proofErr w:type="spellStart"/>
      <w:r w:rsidR="00A14738" w:rsidRPr="00B2396B">
        <w:rPr>
          <w:rFonts w:ascii="Arial" w:hAnsi="Arial" w:cs="Arial"/>
          <w:color w:val="010000"/>
          <w:sz w:val="20"/>
        </w:rPr>
        <w:t>Vietinbank</w:t>
      </w:r>
      <w:proofErr w:type="spellEnd"/>
      <w:r w:rsidRPr="00B2396B">
        <w:rPr>
          <w:rFonts w:ascii="Arial" w:hAnsi="Arial" w:cs="Arial"/>
          <w:color w:val="010000"/>
          <w:sz w:val="20"/>
        </w:rPr>
        <w:t xml:space="preserve"> as follows:</w:t>
      </w:r>
    </w:p>
    <w:p w14:paraId="00000003" w14:textId="5029E236" w:rsidR="00634533" w:rsidRPr="00B2396B" w:rsidRDefault="00F344BE" w:rsidP="00FD4D9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Article 1: Approve the production and business plans, loan arrangement, and credit supply assurance at </w:t>
      </w:r>
      <w:proofErr w:type="spellStart"/>
      <w:r w:rsidR="00A14738" w:rsidRPr="00B2396B">
        <w:rPr>
          <w:rFonts w:ascii="Arial" w:hAnsi="Arial" w:cs="Arial"/>
          <w:color w:val="010000"/>
          <w:sz w:val="20"/>
        </w:rPr>
        <w:t>Vietinbank</w:t>
      </w:r>
      <w:proofErr w:type="spellEnd"/>
    </w:p>
    <w:p w14:paraId="00000004" w14:textId="77777777" w:rsidR="00634533" w:rsidRPr="00B2396B" w:rsidRDefault="00F344BE" w:rsidP="00FD4D9F">
      <w:pPr>
        <w:numPr>
          <w:ilvl w:val="0"/>
          <w:numId w:val="4"/>
        </w:numPr>
        <w:pBdr>
          <w:top w:val="nil"/>
          <w:left w:val="nil"/>
          <w:bottom w:val="nil"/>
          <w:right w:val="nil"/>
          <w:between w:val="nil"/>
        </w:pBdr>
        <w:tabs>
          <w:tab w:val="left" w:pos="450"/>
          <w:tab w:val="left" w:pos="797"/>
        </w:tabs>
        <w:spacing w:after="120" w:line="360" w:lineRule="auto"/>
        <w:jc w:val="both"/>
        <w:rPr>
          <w:rFonts w:ascii="Arial" w:eastAsia="Arial" w:hAnsi="Arial" w:cs="Arial"/>
          <w:color w:val="010000"/>
          <w:sz w:val="20"/>
          <w:szCs w:val="20"/>
        </w:rPr>
      </w:pPr>
      <w:r w:rsidRPr="00B2396B">
        <w:rPr>
          <w:rFonts w:ascii="Arial" w:hAnsi="Arial" w:cs="Arial"/>
          <w:color w:val="010000"/>
          <w:sz w:val="20"/>
        </w:rPr>
        <w:t>Approve the 12-month production and business plan (from April 2024 to March 2025) as follows:</w:t>
      </w:r>
    </w:p>
    <w:p w14:paraId="00000005" w14:textId="77777777" w:rsidR="00634533" w:rsidRPr="00B2396B" w:rsidRDefault="00F344BE" w:rsidP="00FD4D9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Physical output:</w:t>
      </w:r>
    </w:p>
    <w:p w14:paraId="00000006" w14:textId="5BED4B83" w:rsidR="00634533" w:rsidRPr="00B2396B" w:rsidRDefault="00F344BE" w:rsidP="00FD4D9F">
      <w:pPr>
        <w:numPr>
          <w:ilvl w:val="0"/>
          <w:numId w:val="3"/>
        </w:numPr>
        <w:pBdr>
          <w:top w:val="nil"/>
          <w:left w:val="nil"/>
          <w:bottom w:val="nil"/>
          <w:right w:val="nil"/>
          <w:between w:val="nil"/>
        </w:pBdr>
        <w:tabs>
          <w:tab w:val="left" w:pos="450"/>
          <w:tab w:val="right" w:pos="3859"/>
        </w:tabs>
        <w:spacing w:after="120" w:line="360" w:lineRule="auto"/>
        <w:ind w:left="0" w:firstLine="0"/>
        <w:jc w:val="both"/>
        <w:rPr>
          <w:rFonts w:ascii="Arial" w:eastAsia="Arial" w:hAnsi="Arial" w:cs="Arial"/>
          <w:color w:val="010000"/>
          <w:sz w:val="20"/>
          <w:szCs w:val="20"/>
        </w:rPr>
      </w:pPr>
      <w:r w:rsidRPr="00B2396B">
        <w:rPr>
          <w:rFonts w:ascii="Arial" w:hAnsi="Arial" w:cs="Arial"/>
          <w:color w:val="010000"/>
          <w:sz w:val="20"/>
        </w:rPr>
        <w:t>Welding electrode</w:t>
      </w:r>
      <w:r w:rsidR="00D94763" w:rsidRPr="00B2396B">
        <w:rPr>
          <w:rFonts w:ascii="Arial" w:hAnsi="Arial" w:cs="Arial"/>
          <w:color w:val="010000"/>
          <w:sz w:val="20"/>
        </w:rPr>
        <w:t>:</w:t>
      </w:r>
      <w:r w:rsidR="006B1462" w:rsidRPr="00B2396B">
        <w:rPr>
          <w:rFonts w:ascii="Arial" w:hAnsi="Arial" w:cs="Arial"/>
          <w:color w:val="010000"/>
          <w:sz w:val="20"/>
        </w:rPr>
        <w:t xml:space="preserve"> </w:t>
      </w:r>
      <w:r w:rsidRPr="00B2396B">
        <w:rPr>
          <w:rFonts w:ascii="Arial" w:hAnsi="Arial" w:cs="Arial"/>
          <w:color w:val="010000"/>
          <w:sz w:val="20"/>
        </w:rPr>
        <w:t>7,500 tons.</w:t>
      </w:r>
    </w:p>
    <w:p w14:paraId="00000007" w14:textId="3976B961" w:rsidR="00634533" w:rsidRPr="00B2396B" w:rsidRDefault="00F344BE" w:rsidP="00FD4D9F">
      <w:pPr>
        <w:numPr>
          <w:ilvl w:val="0"/>
          <w:numId w:val="3"/>
        </w:numPr>
        <w:pBdr>
          <w:top w:val="nil"/>
          <w:left w:val="nil"/>
          <w:bottom w:val="nil"/>
          <w:right w:val="nil"/>
          <w:between w:val="nil"/>
        </w:pBdr>
        <w:tabs>
          <w:tab w:val="left" w:pos="450"/>
          <w:tab w:val="right" w:pos="3859"/>
        </w:tabs>
        <w:spacing w:after="120" w:line="360" w:lineRule="auto"/>
        <w:ind w:left="0" w:firstLine="0"/>
        <w:jc w:val="both"/>
        <w:rPr>
          <w:rFonts w:ascii="Arial" w:eastAsia="Arial" w:hAnsi="Arial" w:cs="Arial"/>
          <w:color w:val="010000"/>
          <w:sz w:val="20"/>
          <w:szCs w:val="20"/>
        </w:rPr>
      </w:pPr>
      <w:r w:rsidRPr="00B2396B">
        <w:rPr>
          <w:rFonts w:ascii="Arial" w:hAnsi="Arial" w:cs="Arial"/>
          <w:color w:val="010000"/>
          <w:sz w:val="20"/>
        </w:rPr>
        <w:t>Welding cable</w:t>
      </w:r>
      <w:r w:rsidR="00D94763" w:rsidRPr="00B2396B">
        <w:rPr>
          <w:rFonts w:ascii="Arial" w:hAnsi="Arial" w:cs="Arial"/>
          <w:color w:val="010000"/>
          <w:sz w:val="20"/>
        </w:rPr>
        <w:t>:</w:t>
      </w:r>
      <w:r w:rsidRPr="00B2396B">
        <w:rPr>
          <w:rFonts w:ascii="Arial" w:hAnsi="Arial" w:cs="Arial"/>
          <w:color w:val="010000"/>
          <w:sz w:val="20"/>
        </w:rPr>
        <w:t xml:space="preserve"> 5,000 tons.</w:t>
      </w:r>
    </w:p>
    <w:p w14:paraId="00000008" w14:textId="77777777" w:rsidR="00634533" w:rsidRPr="00B2396B" w:rsidRDefault="00F344BE" w:rsidP="00FD4D9F">
      <w:pPr>
        <w:numPr>
          <w:ilvl w:val="0"/>
          <w:numId w:val="3"/>
        </w:numPr>
        <w:pBdr>
          <w:top w:val="nil"/>
          <w:left w:val="nil"/>
          <w:bottom w:val="nil"/>
          <w:right w:val="nil"/>
          <w:between w:val="nil"/>
        </w:pBdr>
        <w:tabs>
          <w:tab w:val="left" w:pos="450"/>
          <w:tab w:val="right" w:pos="3859"/>
        </w:tabs>
        <w:spacing w:after="120" w:line="360" w:lineRule="auto"/>
        <w:ind w:left="0" w:firstLine="0"/>
        <w:jc w:val="both"/>
        <w:rPr>
          <w:rFonts w:ascii="Arial" w:eastAsia="Arial" w:hAnsi="Arial" w:cs="Arial"/>
          <w:color w:val="010000"/>
          <w:sz w:val="20"/>
          <w:szCs w:val="20"/>
        </w:rPr>
      </w:pPr>
      <w:r w:rsidRPr="00B2396B">
        <w:rPr>
          <w:rFonts w:ascii="Arial" w:hAnsi="Arial" w:cs="Arial"/>
          <w:color w:val="010000"/>
          <w:sz w:val="20"/>
        </w:rPr>
        <w:t>Various types of paint: 85 tons</w:t>
      </w:r>
    </w:p>
    <w:p w14:paraId="00000009" w14:textId="77777777" w:rsidR="00634533" w:rsidRPr="00B2396B" w:rsidRDefault="00F344BE" w:rsidP="00FD4D9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Sales revenue plan: VND 350 billion, profit before tax ≥ VND 17 billion.</w:t>
      </w:r>
    </w:p>
    <w:p w14:paraId="0000000A" w14:textId="0C2F224F" w:rsidR="00634533" w:rsidRPr="00B2396B" w:rsidRDefault="00F344BE" w:rsidP="00FD4D9F">
      <w:pPr>
        <w:numPr>
          <w:ilvl w:val="0"/>
          <w:numId w:val="4"/>
        </w:numPr>
        <w:pBdr>
          <w:top w:val="nil"/>
          <w:left w:val="nil"/>
          <w:bottom w:val="nil"/>
          <w:right w:val="nil"/>
          <w:between w:val="nil"/>
        </w:pBdr>
        <w:tabs>
          <w:tab w:val="left" w:pos="450"/>
          <w:tab w:val="left" w:pos="797"/>
        </w:tabs>
        <w:spacing w:after="120" w:line="360" w:lineRule="auto"/>
        <w:jc w:val="both"/>
        <w:rPr>
          <w:rFonts w:ascii="Arial" w:eastAsia="Arial" w:hAnsi="Arial" w:cs="Arial"/>
          <w:color w:val="010000"/>
          <w:sz w:val="20"/>
          <w:szCs w:val="20"/>
        </w:rPr>
      </w:pPr>
      <w:r w:rsidRPr="00B2396B">
        <w:rPr>
          <w:rFonts w:ascii="Arial" w:hAnsi="Arial" w:cs="Arial"/>
          <w:color w:val="010000"/>
          <w:sz w:val="20"/>
        </w:rPr>
        <w:t>Agree to carry out credit transactions (according to one or more or at the same time in the form of credit extension:</w:t>
      </w:r>
      <w:r w:rsidR="006B1462" w:rsidRPr="00B2396B">
        <w:rPr>
          <w:rFonts w:ascii="Arial" w:hAnsi="Arial" w:cs="Arial"/>
          <w:color w:val="010000"/>
          <w:sz w:val="20"/>
        </w:rPr>
        <w:t xml:space="preserve"> </w:t>
      </w:r>
      <w:r w:rsidRPr="00B2396B">
        <w:rPr>
          <w:rFonts w:ascii="Arial" w:hAnsi="Arial" w:cs="Arial"/>
          <w:color w:val="010000"/>
          <w:sz w:val="20"/>
        </w:rPr>
        <w:t xml:space="preserve">loans, guarantees, issuance of letters of credit, etc.) and approve related contracts between the Company and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 </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with the following main conditions and terms:</w:t>
      </w:r>
    </w:p>
    <w:p w14:paraId="0000000B" w14:textId="77777777" w:rsidR="00634533" w:rsidRPr="00B2396B" w:rsidRDefault="00F344BE" w:rsidP="00FD4D9F">
      <w:pPr>
        <w:numPr>
          <w:ilvl w:val="0"/>
          <w:numId w:val="5"/>
        </w:numPr>
        <w:pBdr>
          <w:top w:val="nil"/>
          <w:left w:val="nil"/>
          <w:bottom w:val="nil"/>
          <w:right w:val="nil"/>
          <w:between w:val="nil"/>
        </w:pBdr>
        <w:tabs>
          <w:tab w:val="left" w:pos="450"/>
          <w:tab w:val="left" w:pos="1454"/>
        </w:tabs>
        <w:spacing w:after="120" w:line="360" w:lineRule="auto"/>
        <w:jc w:val="both"/>
        <w:rPr>
          <w:rFonts w:ascii="Arial" w:eastAsia="Arial" w:hAnsi="Arial" w:cs="Arial"/>
          <w:color w:val="010000"/>
          <w:sz w:val="20"/>
          <w:szCs w:val="20"/>
        </w:rPr>
      </w:pPr>
      <w:r w:rsidRPr="00B2396B">
        <w:rPr>
          <w:rFonts w:ascii="Arial" w:hAnsi="Arial" w:cs="Arial"/>
          <w:color w:val="010000"/>
          <w:sz w:val="20"/>
        </w:rPr>
        <w:t>The maximum credit limit is VND 60,000 million, including:</w:t>
      </w:r>
    </w:p>
    <w:p w14:paraId="0000000C" w14:textId="77777777" w:rsidR="00634533" w:rsidRPr="00B2396B" w:rsidRDefault="00F344BE" w:rsidP="00FD4D9F">
      <w:pPr>
        <w:numPr>
          <w:ilvl w:val="0"/>
          <w:numId w:val="1"/>
        </w:numPr>
        <w:pBdr>
          <w:top w:val="nil"/>
          <w:left w:val="nil"/>
          <w:bottom w:val="nil"/>
          <w:right w:val="nil"/>
          <w:between w:val="nil"/>
        </w:pBdr>
        <w:tabs>
          <w:tab w:val="left" w:pos="450"/>
          <w:tab w:val="left" w:pos="1900"/>
        </w:tabs>
        <w:spacing w:after="120" w:line="360" w:lineRule="auto"/>
        <w:jc w:val="both"/>
        <w:rPr>
          <w:rFonts w:ascii="Arial" w:eastAsia="Arial" w:hAnsi="Arial" w:cs="Arial"/>
          <w:color w:val="010000"/>
          <w:sz w:val="20"/>
          <w:szCs w:val="20"/>
        </w:rPr>
      </w:pPr>
      <w:r w:rsidRPr="00B2396B">
        <w:rPr>
          <w:rFonts w:ascii="Arial" w:hAnsi="Arial" w:cs="Arial"/>
          <w:color w:val="010000"/>
          <w:sz w:val="20"/>
        </w:rPr>
        <w:t>Short-term loan limit: VND 35,000 million.</w:t>
      </w:r>
    </w:p>
    <w:p w14:paraId="0000000D" w14:textId="77777777" w:rsidR="00634533" w:rsidRPr="00B2396B" w:rsidRDefault="00F344BE" w:rsidP="00FD4D9F">
      <w:pPr>
        <w:numPr>
          <w:ilvl w:val="0"/>
          <w:numId w:val="1"/>
        </w:numPr>
        <w:pBdr>
          <w:top w:val="nil"/>
          <w:left w:val="nil"/>
          <w:bottom w:val="nil"/>
          <w:right w:val="nil"/>
          <w:between w:val="nil"/>
        </w:pBdr>
        <w:tabs>
          <w:tab w:val="left" w:pos="450"/>
          <w:tab w:val="left" w:pos="1974"/>
        </w:tabs>
        <w:spacing w:after="120" w:line="360" w:lineRule="auto"/>
        <w:jc w:val="both"/>
        <w:rPr>
          <w:rFonts w:ascii="Arial" w:eastAsia="Arial" w:hAnsi="Arial" w:cs="Arial"/>
          <w:color w:val="010000"/>
          <w:sz w:val="20"/>
          <w:szCs w:val="20"/>
        </w:rPr>
      </w:pPr>
      <w:r w:rsidRPr="00B2396B">
        <w:rPr>
          <w:rFonts w:ascii="Arial" w:hAnsi="Arial" w:cs="Arial"/>
          <w:color w:val="010000"/>
          <w:sz w:val="20"/>
        </w:rPr>
        <w:t>Guarantee and Letter of Credit limit: VND 35,000 million.</w:t>
      </w:r>
    </w:p>
    <w:p w14:paraId="0000000E" w14:textId="3D790D60" w:rsidR="00634533" w:rsidRPr="00B2396B" w:rsidRDefault="00A14738" w:rsidP="00FD4D9F">
      <w:pPr>
        <w:numPr>
          <w:ilvl w:val="0"/>
          <w:numId w:val="1"/>
        </w:numPr>
        <w:pBdr>
          <w:top w:val="nil"/>
          <w:left w:val="nil"/>
          <w:bottom w:val="nil"/>
          <w:right w:val="nil"/>
          <w:between w:val="nil"/>
        </w:pBdr>
        <w:tabs>
          <w:tab w:val="left" w:pos="450"/>
          <w:tab w:val="left" w:pos="1942"/>
        </w:tabs>
        <w:spacing w:after="120" w:line="360" w:lineRule="auto"/>
        <w:jc w:val="both"/>
        <w:rPr>
          <w:rFonts w:ascii="Arial" w:eastAsia="Arial" w:hAnsi="Arial" w:cs="Arial"/>
          <w:color w:val="010000"/>
          <w:sz w:val="20"/>
          <w:szCs w:val="20"/>
        </w:rPr>
      </w:pPr>
      <w:r w:rsidRPr="00B2396B">
        <w:rPr>
          <w:rFonts w:ascii="Arial" w:hAnsi="Arial" w:cs="Arial"/>
          <w:color w:val="010000"/>
          <w:sz w:val="20"/>
        </w:rPr>
        <w:t>Medium and long-term</w:t>
      </w:r>
      <w:r w:rsidR="00F344BE" w:rsidRPr="00B2396B">
        <w:rPr>
          <w:rFonts w:ascii="Arial" w:hAnsi="Arial" w:cs="Arial"/>
          <w:color w:val="010000"/>
          <w:sz w:val="20"/>
        </w:rPr>
        <w:t xml:space="preserve"> loan limit: VND 5,000 million.</w:t>
      </w:r>
      <w:r w:rsidRPr="00B2396B">
        <w:rPr>
          <w:rFonts w:ascii="Arial" w:hAnsi="Arial" w:cs="Arial"/>
          <w:color w:val="010000"/>
          <w:sz w:val="20"/>
        </w:rPr>
        <w:t xml:space="preserve"> </w:t>
      </w:r>
    </w:p>
    <w:p w14:paraId="0000000F" w14:textId="77777777" w:rsidR="00634533" w:rsidRPr="00B2396B" w:rsidRDefault="00F344BE" w:rsidP="00FD4D9F">
      <w:pPr>
        <w:numPr>
          <w:ilvl w:val="0"/>
          <w:numId w:val="1"/>
        </w:numPr>
        <w:pBdr>
          <w:top w:val="nil"/>
          <w:left w:val="nil"/>
          <w:bottom w:val="nil"/>
          <w:right w:val="nil"/>
          <w:between w:val="nil"/>
        </w:pBdr>
        <w:tabs>
          <w:tab w:val="left" w:pos="450"/>
          <w:tab w:val="left" w:pos="1942"/>
        </w:tabs>
        <w:spacing w:after="120" w:line="360" w:lineRule="auto"/>
        <w:jc w:val="both"/>
        <w:rPr>
          <w:rFonts w:ascii="Arial" w:eastAsia="Arial" w:hAnsi="Arial" w:cs="Arial"/>
          <w:color w:val="010000"/>
          <w:sz w:val="20"/>
          <w:szCs w:val="20"/>
        </w:rPr>
      </w:pPr>
      <w:r w:rsidRPr="00B2396B">
        <w:rPr>
          <w:rFonts w:ascii="Arial" w:hAnsi="Arial" w:cs="Arial"/>
          <w:color w:val="010000"/>
          <w:sz w:val="20"/>
        </w:rPr>
        <w:t>Credit card limit: VND 300 million.</w:t>
      </w:r>
    </w:p>
    <w:p w14:paraId="00000010" w14:textId="77777777" w:rsidR="00634533" w:rsidRPr="00B2396B" w:rsidRDefault="00F344BE" w:rsidP="00FD4D9F">
      <w:pPr>
        <w:numPr>
          <w:ilvl w:val="0"/>
          <w:numId w:val="5"/>
        </w:numPr>
        <w:pBdr>
          <w:top w:val="nil"/>
          <w:left w:val="nil"/>
          <w:bottom w:val="nil"/>
          <w:right w:val="nil"/>
          <w:between w:val="nil"/>
        </w:pBdr>
        <w:tabs>
          <w:tab w:val="left" w:pos="450"/>
          <w:tab w:val="left" w:pos="1465"/>
        </w:tabs>
        <w:spacing w:after="120" w:line="360" w:lineRule="auto"/>
        <w:jc w:val="both"/>
        <w:rPr>
          <w:rFonts w:ascii="Arial" w:eastAsia="Arial" w:hAnsi="Arial" w:cs="Arial"/>
          <w:color w:val="010000"/>
          <w:sz w:val="20"/>
          <w:szCs w:val="20"/>
        </w:rPr>
      </w:pPr>
      <w:r w:rsidRPr="00B2396B">
        <w:rPr>
          <w:rFonts w:ascii="Arial" w:hAnsi="Arial" w:cs="Arial"/>
          <w:color w:val="010000"/>
          <w:sz w:val="20"/>
        </w:rPr>
        <w:t>Loan purpose: Capital needs for production and business activities.</w:t>
      </w:r>
    </w:p>
    <w:p w14:paraId="00000011" w14:textId="65D6994D" w:rsidR="00634533" w:rsidRPr="00B2396B" w:rsidRDefault="00F344BE" w:rsidP="00FD4D9F">
      <w:pPr>
        <w:numPr>
          <w:ilvl w:val="0"/>
          <w:numId w:val="5"/>
        </w:numPr>
        <w:pBdr>
          <w:top w:val="nil"/>
          <w:left w:val="nil"/>
          <w:bottom w:val="nil"/>
          <w:right w:val="nil"/>
          <w:between w:val="nil"/>
        </w:pBdr>
        <w:tabs>
          <w:tab w:val="left" w:pos="450"/>
          <w:tab w:val="left" w:pos="1485"/>
        </w:tabs>
        <w:spacing w:after="120" w:line="360" w:lineRule="auto"/>
        <w:jc w:val="both"/>
        <w:rPr>
          <w:rFonts w:ascii="Arial" w:eastAsia="Arial" w:hAnsi="Arial" w:cs="Arial"/>
          <w:color w:val="010000"/>
          <w:sz w:val="20"/>
          <w:szCs w:val="20"/>
        </w:rPr>
      </w:pPr>
      <w:r w:rsidRPr="00B2396B">
        <w:rPr>
          <w:rFonts w:ascii="Arial" w:hAnsi="Arial" w:cs="Arial"/>
          <w:color w:val="010000"/>
          <w:sz w:val="20"/>
        </w:rPr>
        <w:t>Interest rate: Margin not exceeding 3.5% above the 12-month savings interest rate of</w:t>
      </w:r>
      <w:r w:rsidR="006B1462" w:rsidRPr="00B2396B">
        <w:rPr>
          <w:rFonts w:ascii="Arial" w:hAnsi="Arial" w:cs="Arial"/>
          <w:color w:val="010000"/>
          <w:sz w:val="20"/>
        </w:rPr>
        <w:t xml:space="preserve"> </w:t>
      </w:r>
      <w:r w:rsidRPr="00B2396B">
        <w:rPr>
          <w:rFonts w:ascii="Arial" w:hAnsi="Arial" w:cs="Arial"/>
          <w:color w:val="010000"/>
          <w:sz w:val="20"/>
        </w:rPr>
        <w:t xml:space="preserve">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w:t>
      </w:r>
    </w:p>
    <w:p w14:paraId="00000012" w14:textId="41D90AB9" w:rsidR="00634533" w:rsidRPr="00B2396B" w:rsidRDefault="00F344BE" w:rsidP="00FD4D9F">
      <w:pPr>
        <w:numPr>
          <w:ilvl w:val="0"/>
          <w:numId w:val="5"/>
        </w:numPr>
        <w:pBdr>
          <w:top w:val="nil"/>
          <w:left w:val="nil"/>
          <w:bottom w:val="nil"/>
          <w:right w:val="nil"/>
          <w:between w:val="nil"/>
        </w:pBdr>
        <w:tabs>
          <w:tab w:val="left" w:pos="450"/>
          <w:tab w:val="left" w:pos="1485"/>
        </w:tabs>
        <w:spacing w:after="120" w:line="360" w:lineRule="auto"/>
        <w:jc w:val="both"/>
        <w:rPr>
          <w:rFonts w:ascii="Arial" w:eastAsia="Arial" w:hAnsi="Arial" w:cs="Arial"/>
          <w:color w:val="010000"/>
          <w:sz w:val="20"/>
          <w:szCs w:val="20"/>
        </w:rPr>
      </w:pPr>
      <w:r w:rsidRPr="00B2396B">
        <w:rPr>
          <w:rFonts w:ascii="Arial" w:hAnsi="Arial" w:cs="Arial"/>
          <w:color w:val="010000"/>
          <w:sz w:val="20"/>
        </w:rPr>
        <w:t>Collateral (if any): Company</w:t>
      </w:r>
      <w:r w:rsidR="00A14738" w:rsidRPr="00B2396B">
        <w:rPr>
          <w:rFonts w:ascii="Arial" w:hAnsi="Arial" w:cs="Arial"/>
          <w:color w:val="010000"/>
          <w:sz w:val="20"/>
        </w:rPr>
        <w:t>’s</w:t>
      </w:r>
      <w:r w:rsidRPr="00B2396B">
        <w:rPr>
          <w:rFonts w:ascii="Arial" w:hAnsi="Arial" w:cs="Arial"/>
          <w:color w:val="010000"/>
          <w:sz w:val="20"/>
        </w:rPr>
        <w:t xml:space="preserve"> assets, but the value of collateral as appraised by a third party does not exceed 150%.</w:t>
      </w:r>
    </w:p>
    <w:p w14:paraId="00000013" w14:textId="7FA3B7C4" w:rsidR="00634533" w:rsidRPr="00B2396B" w:rsidRDefault="00F344BE" w:rsidP="00FD4D9F">
      <w:pPr>
        <w:numPr>
          <w:ilvl w:val="0"/>
          <w:numId w:val="5"/>
        </w:numPr>
        <w:pBdr>
          <w:top w:val="nil"/>
          <w:left w:val="nil"/>
          <w:bottom w:val="nil"/>
          <w:right w:val="nil"/>
          <w:between w:val="nil"/>
        </w:pBdr>
        <w:tabs>
          <w:tab w:val="left" w:pos="450"/>
          <w:tab w:val="left" w:pos="1485"/>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At all times when disbursing new loans or issuing guarantees or letters of credit, ensure they are used for production and business purposes as approved, and the total outstanding loans, guarantees, and letters of credit do not exceed the credit limit stated in Section 2, Item </w:t>
      </w:r>
      <w:r w:rsidR="00FD4D9F">
        <w:rPr>
          <w:rFonts w:ascii="Arial" w:hAnsi="Arial" w:cs="Arial"/>
          <w:color w:val="010000"/>
          <w:sz w:val="20"/>
        </w:rPr>
        <w:t>A</w:t>
      </w:r>
      <w:r w:rsidRPr="00B2396B">
        <w:rPr>
          <w:rFonts w:ascii="Arial" w:hAnsi="Arial" w:cs="Arial"/>
          <w:color w:val="010000"/>
          <w:sz w:val="20"/>
        </w:rPr>
        <w:t>.</w:t>
      </w:r>
    </w:p>
    <w:p w14:paraId="00000014" w14:textId="2F8D453E" w:rsidR="00634533" w:rsidRPr="00B2396B" w:rsidRDefault="00F344BE" w:rsidP="00FD4D9F">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Agree to use the Company's/third party's assets as collateral for the Company's debt obligations to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 </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arising from the credit transactions mentioned in Section 2.</w:t>
      </w:r>
    </w:p>
    <w:p w14:paraId="00000015" w14:textId="642491AB" w:rsidR="00634533" w:rsidRPr="00B2396B" w:rsidRDefault="00F344BE" w:rsidP="00FD4D9F">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Throughout the credit relationship with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w:t>
      </w:r>
      <w:r w:rsidRPr="00B2396B">
        <w:rPr>
          <w:rFonts w:ascii="Arial" w:hAnsi="Arial" w:cs="Arial"/>
          <w:color w:val="010000"/>
          <w:sz w:val="20"/>
        </w:rPr>
        <w:lastRenderedPageBreak/>
        <w:t xml:space="preserve">Trade - </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the Company ensures and commits to:</w:t>
      </w:r>
    </w:p>
    <w:p w14:paraId="00000016" w14:textId="3D4ECA06" w:rsidR="00634533" w:rsidRPr="00B2396B" w:rsidRDefault="00F344BE" w:rsidP="00FD4D9F">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Acknowledge the debt obligation for all credit (loans, guarantees, opening Letter of Credit</w:t>
      </w:r>
      <w:r w:rsidR="00A14738" w:rsidRPr="00B2396B">
        <w:rPr>
          <w:rFonts w:ascii="Arial" w:hAnsi="Arial" w:cs="Arial"/>
          <w:color w:val="010000"/>
          <w:sz w:val="20"/>
        </w:rPr>
        <w:t>, etc.</w:t>
      </w:r>
      <w:r w:rsidRPr="00B2396B">
        <w:rPr>
          <w:rFonts w:ascii="Arial" w:hAnsi="Arial" w:cs="Arial"/>
          <w:color w:val="010000"/>
          <w:sz w:val="20"/>
        </w:rPr>
        <w:t xml:space="preserve">) that have arisen and are still unpaid between the Company and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 - </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w:t>
      </w:r>
      <w:proofErr w:type="gramStart"/>
      <w:r w:rsidRPr="00B2396B">
        <w:rPr>
          <w:rFonts w:ascii="Arial" w:hAnsi="Arial" w:cs="Arial"/>
          <w:color w:val="010000"/>
          <w:sz w:val="20"/>
        </w:rPr>
        <w:t>An</w:t>
      </w:r>
      <w:proofErr w:type="gramEnd"/>
      <w:r w:rsidRPr="00B2396B">
        <w:rPr>
          <w:rFonts w:ascii="Arial" w:hAnsi="Arial" w:cs="Arial"/>
          <w:color w:val="010000"/>
          <w:sz w:val="20"/>
        </w:rPr>
        <w:t xml:space="preserve"> Branch before the date of this meeting, with a value not exceeding VND 26,221 million.</w:t>
      </w:r>
    </w:p>
    <w:p w14:paraId="00000017" w14:textId="46CDD084" w:rsidR="00634533" w:rsidRPr="00B2396B" w:rsidRDefault="00F344BE" w:rsidP="00FD4D9F">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Agree that if the Company breaches payment obligations as stipulated in the credit agreements, Vietnam Joint Stock Commercial Bank </w:t>
      </w:r>
      <w:r w:rsidR="00A14738" w:rsidRPr="00B2396B">
        <w:rPr>
          <w:rFonts w:ascii="Arial" w:hAnsi="Arial" w:cs="Arial"/>
          <w:color w:val="010000"/>
          <w:sz w:val="20"/>
        </w:rPr>
        <w:t>for Industry and Trade-</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is entitled to request and carry out the deduction of money from the Company's deposit accounts, and payment accounts at any financial institution to pay the debts at Vietnam Joint Stock Commercial Bank </w:t>
      </w:r>
      <w:r w:rsidR="00B2396B" w:rsidRPr="00B2396B">
        <w:rPr>
          <w:rFonts w:ascii="Arial" w:hAnsi="Arial" w:cs="Arial"/>
          <w:color w:val="010000"/>
          <w:sz w:val="20"/>
        </w:rPr>
        <w:t>for</w:t>
      </w:r>
      <w:r w:rsidRPr="00B2396B">
        <w:rPr>
          <w:rFonts w:ascii="Arial" w:hAnsi="Arial" w:cs="Arial"/>
          <w:color w:val="010000"/>
          <w:sz w:val="20"/>
        </w:rPr>
        <w:t xml:space="preserve"> Industry and Trade-</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in case these deposit accounts and payment accounts are collateral for the Company's obligations as per the terms and conditions in the credit agreement signed between the Company and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The Company declares to waive all responsibilities and relinquish the right to complain or sue any financial institution or individual related to the deduction of money from the Company's accounts at the request of Vietnam Joint Stock Commercial Bank </w:t>
      </w:r>
      <w:r w:rsidR="00A14738" w:rsidRPr="00B2396B">
        <w:rPr>
          <w:rFonts w:ascii="Arial" w:hAnsi="Arial" w:cs="Arial"/>
          <w:color w:val="010000"/>
          <w:sz w:val="20"/>
        </w:rPr>
        <w:t>for</w:t>
      </w:r>
      <w:r w:rsidRPr="00B2396B">
        <w:rPr>
          <w:rFonts w:ascii="Arial" w:hAnsi="Arial" w:cs="Arial"/>
          <w:color w:val="010000"/>
          <w:sz w:val="20"/>
        </w:rPr>
        <w:t xml:space="preserve"> Industry and Trade-</w:t>
      </w:r>
      <w:proofErr w:type="spellStart"/>
      <w:r w:rsidRPr="00B2396B">
        <w:rPr>
          <w:rFonts w:ascii="Arial" w:hAnsi="Arial" w:cs="Arial"/>
          <w:color w:val="010000"/>
          <w:sz w:val="20"/>
        </w:rPr>
        <w:t>Thanh</w:t>
      </w:r>
      <w:proofErr w:type="spellEnd"/>
      <w:r w:rsidRPr="00B2396B">
        <w:rPr>
          <w:rFonts w:ascii="Arial" w:hAnsi="Arial" w:cs="Arial"/>
          <w:color w:val="010000"/>
          <w:sz w:val="20"/>
        </w:rPr>
        <w:t xml:space="preserve"> An Branch, except when the deduction is carried out unlawfully or contrary to the credit agreements signed between the parties involved.</w:t>
      </w:r>
    </w:p>
    <w:p w14:paraId="00000018" w14:textId="070016D6" w:rsidR="00634533" w:rsidRPr="00B2396B" w:rsidRDefault="00F344BE" w:rsidP="00FD4D9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2396B">
        <w:rPr>
          <w:rFonts w:ascii="Arial" w:hAnsi="Arial" w:cs="Arial"/>
          <w:color w:val="010000"/>
          <w:sz w:val="20"/>
        </w:rPr>
        <w:t xml:space="preserve">Article 2: Assign the General Manager to organize the implementation of the contents approved by the Board of Directors in Article 1 of this Resolution, and complete the procedures to sign agreements, contracts, and related documents with the bank </w:t>
      </w:r>
      <w:r w:rsidR="00FD4D9F">
        <w:rPr>
          <w:rFonts w:ascii="Arial" w:hAnsi="Arial" w:cs="Arial"/>
          <w:color w:val="010000"/>
          <w:sz w:val="20"/>
        </w:rPr>
        <w:t>following</w:t>
      </w:r>
      <w:bookmarkStart w:id="0" w:name="_GoBack"/>
      <w:bookmarkEnd w:id="0"/>
      <w:r w:rsidRPr="00B2396B">
        <w:rPr>
          <w:rFonts w:ascii="Arial" w:hAnsi="Arial" w:cs="Arial"/>
          <w:color w:val="010000"/>
          <w:sz w:val="20"/>
        </w:rPr>
        <w:t xml:space="preserve"> legal regulations.</w:t>
      </w:r>
    </w:p>
    <w:p w14:paraId="00000019" w14:textId="4FBDCC83" w:rsidR="00634533" w:rsidRPr="00B2396B" w:rsidRDefault="00F344BE" w:rsidP="00FD4D9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sectPr w:rsidR="00634533" w:rsidRPr="00B2396B" w:rsidSect="008162A8">
          <w:pgSz w:w="11906" w:h="16838"/>
          <w:pgMar w:top="1440" w:right="1440" w:bottom="1440" w:left="1440" w:header="0" w:footer="3" w:gutter="0"/>
          <w:pgNumType w:start="1"/>
          <w:cols w:space="720"/>
          <w:docGrid w:linePitch="326"/>
        </w:sectPr>
      </w:pPr>
      <w:r w:rsidRPr="00B2396B">
        <w:rPr>
          <w:rFonts w:ascii="Arial" w:hAnsi="Arial" w:cs="Arial"/>
          <w:color w:val="010000"/>
          <w:sz w:val="20"/>
        </w:rPr>
        <w:t>Article 3. This Resolution takes effect from April 1, 2024.</w:t>
      </w:r>
    </w:p>
    <w:p w14:paraId="0000001A" w14:textId="77777777" w:rsidR="00634533" w:rsidRPr="00B2396B" w:rsidRDefault="00634533" w:rsidP="00FD4D9F">
      <w:pPr>
        <w:tabs>
          <w:tab w:val="left" w:pos="450"/>
        </w:tabs>
        <w:spacing w:after="120" w:line="360" w:lineRule="auto"/>
        <w:jc w:val="both"/>
        <w:rPr>
          <w:rFonts w:ascii="Arial" w:eastAsia="Arial" w:hAnsi="Arial" w:cs="Arial"/>
          <w:color w:val="010000"/>
          <w:sz w:val="20"/>
          <w:szCs w:val="20"/>
        </w:rPr>
      </w:pPr>
    </w:p>
    <w:sectPr w:rsidR="00634533" w:rsidRPr="00B2396B" w:rsidSect="008162A8">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AD3"/>
    <w:multiLevelType w:val="multilevel"/>
    <w:tmpl w:val="0F7C5614"/>
    <w:lvl w:ilvl="0">
      <w:start w:val="1"/>
      <w:numFmt w:val="lowerRoman"/>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FE3B2A"/>
    <w:multiLevelType w:val="multilevel"/>
    <w:tmpl w:val="7452D5C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0D0AC5"/>
    <w:multiLevelType w:val="multilevel"/>
    <w:tmpl w:val="DF8C82CA"/>
    <w:lvl w:ilvl="0">
      <w:start w:val="1"/>
      <w:numFmt w:val="lowerLetter"/>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C2C2CFB"/>
    <w:multiLevelType w:val="multilevel"/>
    <w:tmpl w:val="C86C956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D9506F"/>
    <w:multiLevelType w:val="multilevel"/>
    <w:tmpl w:val="FC388E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33"/>
    <w:rsid w:val="00634533"/>
    <w:rsid w:val="006B1462"/>
    <w:rsid w:val="00805E40"/>
    <w:rsid w:val="008162A8"/>
    <w:rsid w:val="00A14738"/>
    <w:rsid w:val="00B2396B"/>
    <w:rsid w:val="00D94763"/>
    <w:rsid w:val="00F344BE"/>
    <w:rsid w:val="00FD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AAE4C"/>
  <w15:docId w15:val="{31E5BB47-36D0-4245-AE41-9CF0FDE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4F080C"/>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F080C"/>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70404"/>
      <w:sz w:val="9"/>
      <w:szCs w:val="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70404"/>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color w:val="4F080C"/>
      <w:sz w:val="16"/>
      <w:szCs w:val="16"/>
    </w:rPr>
  </w:style>
  <w:style w:type="paragraph" w:customStyle="1" w:styleId="Bodytext20">
    <w:name w:val="Body text (2)"/>
    <w:basedOn w:val="Normal"/>
    <w:link w:val="Bodytext2"/>
    <w:pPr>
      <w:spacing w:line="298" w:lineRule="auto"/>
    </w:pPr>
    <w:rPr>
      <w:rFonts w:ascii="Arial" w:eastAsia="Arial" w:hAnsi="Arial" w:cs="Arial"/>
      <w:b/>
      <w:bCs/>
      <w:color w:val="4F080C"/>
      <w:sz w:val="18"/>
      <w:szCs w:val="18"/>
    </w:rPr>
  </w:style>
  <w:style w:type="paragraph" w:customStyle="1" w:styleId="Heading11">
    <w:name w:val="Heading #1"/>
    <w:basedOn w:val="Normal"/>
    <w:link w:val="Heading10"/>
    <w:pPr>
      <w:spacing w:line="230" w:lineRule="auto"/>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ind w:hanging="1500"/>
    </w:pPr>
    <w:rPr>
      <w:rFonts w:ascii="Times New Roman" w:eastAsia="Times New Roman" w:hAnsi="Times New Roman" w:cs="Times New Roman"/>
      <w:color w:val="F70404"/>
      <w:sz w:val="9"/>
      <w:szCs w:val="9"/>
    </w:rPr>
  </w:style>
  <w:style w:type="paragraph" w:customStyle="1" w:styleId="Bodytext40">
    <w:name w:val="Body text (4)"/>
    <w:basedOn w:val="Normal"/>
    <w:link w:val="Bodytext4"/>
    <w:pPr>
      <w:ind w:hanging="750"/>
    </w:pPr>
    <w:rPr>
      <w:rFonts w:ascii="Times New Roman" w:eastAsia="Times New Roman" w:hAnsi="Times New Roman" w:cs="Times New Roman"/>
      <w:color w:val="F70404"/>
      <w:sz w:val="16"/>
      <w:szCs w:val="16"/>
    </w:rPr>
  </w:style>
  <w:style w:type="paragraph" w:customStyle="1" w:styleId="Bodytext30">
    <w:name w:val="Body text (3)"/>
    <w:basedOn w:val="Normal"/>
    <w:link w:val="Bodytext3"/>
    <w:pPr>
      <w:ind w:firstLine="2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XCNsJz3Fur+BLTboL1h5K0TKjQ==">CgMxLjA4AHIhMWQ4cnZsVUhaUlZfbERKcUJmX01RbDBoYmxuMUc2OHRW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637</Words>
  <Characters>3391</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Thi Quynh Trang</cp:lastModifiedBy>
  <cp:revision>10</cp:revision>
  <dcterms:created xsi:type="dcterms:W3CDTF">2024-05-14T04:20:00Z</dcterms:created>
  <dcterms:modified xsi:type="dcterms:W3CDTF">2024-05-15T07:05:00Z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100f76bb3ed2ad067909eb4628014ef59fa010b682956f9cbd1a2864c9889d12</vt:lpwstr>
  </property>
</Properties>
</file>