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0939" w14:textId="77777777" w:rsidR="00E94F4F" w:rsidRPr="00BC0918" w:rsidRDefault="0060734F" w:rsidP="00D130DF">
      <w:pPr>
        <w:pBdr>
          <w:top w:val="nil"/>
          <w:left w:val="nil"/>
          <w:bottom w:val="nil"/>
          <w:right w:val="nil"/>
          <w:between w:val="nil"/>
        </w:pBdr>
        <w:tabs>
          <w:tab w:val="left" w:pos="3562"/>
        </w:tabs>
        <w:spacing w:after="120" w:line="360" w:lineRule="auto"/>
        <w:jc w:val="both"/>
        <w:rPr>
          <w:rFonts w:ascii="Arial" w:eastAsia="Arial" w:hAnsi="Arial" w:cs="Arial"/>
          <w:b/>
          <w:color w:val="010000"/>
          <w:sz w:val="20"/>
          <w:szCs w:val="20"/>
        </w:rPr>
      </w:pPr>
      <w:r w:rsidRPr="00BC0918">
        <w:rPr>
          <w:rFonts w:ascii="Arial" w:hAnsi="Arial" w:cs="Arial"/>
          <w:b/>
          <w:color w:val="010000"/>
          <w:sz w:val="20"/>
        </w:rPr>
        <w:t>TSJ: Annual General Mandate 2024</w:t>
      </w:r>
    </w:p>
    <w:p w14:paraId="52BA8953" w14:textId="7CF39B2F" w:rsidR="00E94F4F" w:rsidRPr="00BC0918" w:rsidRDefault="0060734F" w:rsidP="00D130DF">
      <w:pPr>
        <w:pBdr>
          <w:top w:val="nil"/>
          <w:left w:val="nil"/>
          <w:bottom w:val="nil"/>
          <w:right w:val="nil"/>
          <w:between w:val="nil"/>
        </w:pBdr>
        <w:spacing w:after="120" w:line="360" w:lineRule="auto"/>
        <w:jc w:val="both"/>
        <w:rPr>
          <w:rFonts w:ascii="Arial" w:eastAsia="Arial" w:hAnsi="Arial" w:cs="Arial"/>
          <w:color w:val="010000"/>
          <w:sz w:val="20"/>
          <w:szCs w:val="20"/>
        </w:rPr>
      </w:pPr>
      <w:r w:rsidRPr="00BC0918">
        <w:rPr>
          <w:rFonts w:ascii="Arial" w:hAnsi="Arial" w:cs="Arial"/>
          <w:color w:val="010000"/>
          <w:sz w:val="20"/>
        </w:rPr>
        <w:t xml:space="preserve">Ha </w:t>
      </w:r>
      <w:proofErr w:type="spellStart"/>
      <w:r w:rsidRPr="00BC0918">
        <w:rPr>
          <w:rFonts w:ascii="Arial" w:hAnsi="Arial" w:cs="Arial"/>
          <w:color w:val="010000"/>
          <w:sz w:val="20"/>
        </w:rPr>
        <w:t>Noi</w:t>
      </w:r>
      <w:proofErr w:type="spellEnd"/>
      <w:r w:rsidRPr="00BC0918">
        <w:rPr>
          <w:rFonts w:ascii="Arial" w:hAnsi="Arial" w:cs="Arial"/>
          <w:color w:val="010000"/>
          <w:sz w:val="20"/>
        </w:rPr>
        <w:t xml:space="preserve"> Tourist Service Joint Stock Company announced General Mandate No. 02/2024/NQ-DH</w:t>
      </w:r>
      <w:r w:rsidR="00B77180" w:rsidRPr="00BC0918">
        <w:rPr>
          <w:rFonts w:ascii="Arial" w:hAnsi="Arial" w:cs="Arial"/>
          <w:color w:val="010000"/>
          <w:sz w:val="20"/>
        </w:rPr>
        <w:t>D</w:t>
      </w:r>
      <w:r w:rsidRPr="00BC0918">
        <w:rPr>
          <w:rFonts w:ascii="Arial" w:hAnsi="Arial" w:cs="Arial"/>
          <w:color w:val="010000"/>
          <w:sz w:val="20"/>
        </w:rPr>
        <w:t xml:space="preserve">CD as follows: </w:t>
      </w:r>
    </w:p>
    <w:p w14:paraId="59332924" w14:textId="05420122" w:rsidR="00E94F4F" w:rsidRPr="00BC0918" w:rsidRDefault="0060734F" w:rsidP="00D130DF">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BC0918">
        <w:rPr>
          <w:rFonts w:ascii="Arial" w:hAnsi="Arial" w:cs="Arial"/>
          <w:color w:val="010000"/>
          <w:sz w:val="20"/>
        </w:rPr>
        <w:t>‎‎Article 1.</w:t>
      </w:r>
      <w:proofErr w:type="gramEnd"/>
      <w:r w:rsidRPr="00BC0918">
        <w:rPr>
          <w:rFonts w:ascii="Arial" w:hAnsi="Arial" w:cs="Arial"/>
          <w:color w:val="010000"/>
          <w:sz w:val="20"/>
        </w:rPr>
        <w:t xml:space="preserve"> The General Meeting of Shareholders of the Company approve</w:t>
      </w:r>
      <w:r w:rsidR="00B77180" w:rsidRPr="00BC0918">
        <w:rPr>
          <w:rFonts w:ascii="Arial" w:hAnsi="Arial" w:cs="Arial"/>
          <w:color w:val="010000"/>
          <w:sz w:val="20"/>
        </w:rPr>
        <w:t>s</w:t>
      </w:r>
      <w:r w:rsidRPr="00BC0918">
        <w:rPr>
          <w:rFonts w:ascii="Arial" w:hAnsi="Arial" w:cs="Arial"/>
          <w:color w:val="010000"/>
          <w:sz w:val="20"/>
        </w:rPr>
        <w:t xml:space="preserve"> the following General Mandates:</w:t>
      </w:r>
    </w:p>
    <w:p w14:paraId="1ABE2AD0" w14:textId="77777777" w:rsidR="00E94F4F" w:rsidRPr="00BC0918" w:rsidRDefault="0060734F" w:rsidP="00D130DF">
      <w:pPr>
        <w:numPr>
          <w:ilvl w:val="0"/>
          <w:numId w:val="5"/>
        </w:numPr>
        <w:pBdr>
          <w:top w:val="nil"/>
          <w:left w:val="nil"/>
          <w:bottom w:val="nil"/>
          <w:right w:val="nil"/>
          <w:between w:val="nil"/>
        </w:pBdr>
        <w:tabs>
          <w:tab w:val="left" w:pos="506"/>
        </w:tabs>
        <w:spacing w:after="120" w:line="360" w:lineRule="auto"/>
        <w:jc w:val="both"/>
        <w:rPr>
          <w:rFonts w:ascii="Arial" w:eastAsia="Arial" w:hAnsi="Arial" w:cs="Arial"/>
          <w:color w:val="010000"/>
          <w:sz w:val="20"/>
          <w:szCs w:val="20"/>
        </w:rPr>
      </w:pPr>
      <w:r w:rsidRPr="00BC0918">
        <w:rPr>
          <w:rFonts w:ascii="Arial" w:hAnsi="Arial" w:cs="Arial"/>
          <w:color w:val="010000"/>
          <w:sz w:val="20"/>
        </w:rPr>
        <w:t>General Mandate 1: The General Meeting of Shareholders approves the Report of the Board of Management on production and business results in 2023 and production and business orientations and plans in 2024.</w:t>
      </w:r>
    </w:p>
    <w:p w14:paraId="0C7D3426" w14:textId="77777777" w:rsidR="00E94F4F" w:rsidRPr="00BC0918" w:rsidRDefault="0060734F" w:rsidP="00D130DF">
      <w:pPr>
        <w:pBdr>
          <w:top w:val="nil"/>
          <w:left w:val="nil"/>
          <w:bottom w:val="nil"/>
          <w:right w:val="nil"/>
          <w:between w:val="nil"/>
        </w:pBdr>
        <w:spacing w:after="120" w:line="360" w:lineRule="auto"/>
        <w:jc w:val="both"/>
        <w:rPr>
          <w:rFonts w:ascii="Arial" w:eastAsia="Arial" w:hAnsi="Arial" w:cs="Arial"/>
          <w:color w:val="010000"/>
          <w:sz w:val="20"/>
          <w:szCs w:val="20"/>
        </w:rPr>
      </w:pPr>
      <w:r w:rsidRPr="00BC0918">
        <w:rPr>
          <w:rFonts w:ascii="Arial" w:hAnsi="Arial" w:cs="Arial"/>
          <w:color w:val="010000"/>
          <w:sz w:val="20"/>
        </w:rPr>
        <w:t>In 2024, the Company's Executive Board focuses on implementing the following tasks:</w:t>
      </w:r>
    </w:p>
    <w:p w14:paraId="3A464D54" w14:textId="32BECCBF" w:rsidR="00E94F4F" w:rsidRPr="00BC0918" w:rsidRDefault="0060734F" w:rsidP="00D130DF">
      <w:pPr>
        <w:numPr>
          <w:ilvl w:val="0"/>
          <w:numId w:val="4"/>
        </w:numPr>
        <w:pBdr>
          <w:top w:val="nil"/>
          <w:left w:val="nil"/>
          <w:bottom w:val="nil"/>
          <w:right w:val="nil"/>
          <w:between w:val="nil"/>
        </w:pBdr>
        <w:tabs>
          <w:tab w:val="left" w:pos="667"/>
        </w:tabs>
        <w:spacing w:after="120" w:line="360" w:lineRule="auto"/>
        <w:jc w:val="both"/>
        <w:rPr>
          <w:rFonts w:ascii="Arial" w:eastAsia="Arial" w:hAnsi="Arial" w:cs="Arial"/>
          <w:color w:val="010000"/>
          <w:sz w:val="20"/>
          <w:szCs w:val="20"/>
        </w:rPr>
      </w:pPr>
      <w:r w:rsidRPr="00BC0918">
        <w:rPr>
          <w:rFonts w:ascii="Arial" w:hAnsi="Arial" w:cs="Arial"/>
          <w:color w:val="010000"/>
          <w:sz w:val="20"/>
        </w:rPr>
        <w:t xml:space="preserve">Promote self-trading activities (travel business and office rental), </w:t>
      </w:r>
      <w:r w:rsidR="00B77180" w:rsidRPr="00BC0918">
        <w:rPr>
          <w:rFonts w:ascii="Arial" w:hAnsi="Arial" w:cs="Arial"/>
          <w:color w:val="010000"/>
          <w:sz w:val="20"/>
        </w:rPr>
        <w:t xml:space="preserve">and </w:t>
      </w:r>
      <w:r w:rsidRPr="00BC0918">
        <w:rPr>
          <w:rFonts w:ascii="Arial" w:hAnsi="Arial" w:cs="Arial"/>
          <w:color w:val="010000"/>
          <w:sz w:val="20"/>
        </w:rPr>
        <w:t xml:space="preserve">expand new business lines of the Company on the basis of taking existing advantage of the Company and the strengths of shareholders to </w:t>
      </w:r>
      <w:r w:rsidR="00B77180" w:rsidRPr="00BC0918">
        <w:rPr>
          <w:rFonts w:ascii="Arial" w:hAnsi="Arial" w:cs="Arial"/>
          <w:color w:val="010000"/>
          <w:sz w:val="20"/>
        </w:rPr>
        <w:t>ensure</w:t>
      </w:r>
      <w:r w:rsidRPr="00BC0918">
        <w:rPr>
          <w:rFonts w:ascii="Arial" w:hAnsi="Arial" w:cs="Arial"/>
          <w:color w:val="010000"/>
          <w:sz w:val="20"/>
        </w:rPr>
        <w:t xml:space="preserve"> the Company's long-term sustainable development targets.</w:t>
      </w:r>
    </w:p>
    <w:p w14:paraId="361159D8" w14:textId="77777777" w:rsidR="00E94F4F" w:rsidRPr="00BC0918" w:rsidRDefault="0060734F" w:rsidP="00D130DF">
      <w:pPr>
        <w:numPr>
          <w:ilvl w:val="0"/>
          <w:numId w:val="4"/>
        </w:numPr>
        <w:pBdr>
          <w:top w:val="nil"/>
          <w:left w:val="nil"/>
          <w:bottom w:val="nil"/>
          <w:right w:val="nil"/>
          <w:between w:val="nil"/>
        </w:pBdr>
        <w:tabs>
          <w:tab w:val="left" w:pos="667"/>
        </w:tabs>
        <w:spacing w:after="120" w:line="360" w:lineRule="auto"/>
        <w:jc w:val="both"/>
        <w:rPr>
          <w:rFonts w:ascii="Arial" w:eastAsia="Arial" w:hAnsi="Arial" w:cs="Arial"/>
          <w:color w:val="010000"/>
          <w:sz w:val="20"/>
          <w:szCs w:val="20"/>
        </w:rPr>
      </w:pPr>
      <w:r w:rsidRPr="00BC0918">
        <w:rPr>
          <w:rFonts w:ascii="Arial" w:hAnsi="Arial" w:cs="Arial"/>
          <w:color w:val="010000"/>
          <w:sz w:val="20"/>
        </w:rPr>
        <w:t xml:space="preserve">Research and submit to the Board of Directors for approval of the plan on repairing and renovating constructions showing signs of deterioration (Building No. 2 Nui </w:t>
      </w:r>
      <w:proofErr w:type="spellStart"/>
      <w:r w:rsidRPr="00BC0918">
        <w:rPr>
          <w:rFonts w:ascii="Arial" w:hAnsi="Arial" w:cs="Arial"/>
          <w:color w:val="010000"/>
          <w:sz w:val="20"/>
        </w:rPr>
        <w:t>Truc</w:t>
      </w:r>
      <w:proofErr w:type="spellEnd"/>
      <w:r w:rsidRPr="00BC0918">
        <w:rPr>
          <w:rFonts w:ascii="Arial" w:hAnsi="Arial" w:cs="Arial"/>
          <w:color w:val="010000"/>
          <w:sz w:val="20"/>
        </w:rPr>
        <w:t xml:space="preserve"> Street, No. 273 Kim Ma Street,...) to ensure efficiency and capital preservation.</w:t>
      </w:r>
    </w:p>
    <w:p w14:paraId="52B09480" w14:textId="77777777" w:rsidR="00E94F4F" w:rsidRPr="00BC0918" w:rsidRDefault="0060734F" w:rsidP="00D130DF">
      <w:pPr>
        <w:numPr>
          <w:ilvl w:val="0"/>
          <w:numId w:val="4"/>
        </w:numPr>
        <w:pBdr>
          <w:top w:val="nil"/>
          <w:left w:val="nil"/>
          <w:bottom w:val="nil"/>
          <w:right w:val="nil"/>
          <w:between w:val="nil"/>
        </w:pBdr>
        <w:tabs>
          <w:tab w:val="left" w:pos="672"/>
        </w:tabs>
        <w:spacing w:after="120" w:line="360" w:lineRule="auto"/>
        <w:jc w:val="both"/>
        <w:rPr>
          <w:rFonts w:ascii="Arial" w:eastAsia="Arial" w:hAnsi="Arial" w:cs="Arial"/>
          <w:color w:val="010000"/>
          <w:sz w:val="20"/>
          <w:szCs w:val="20"/>
        </w:rPr>
      </w:pPr>
      <w:r w:rsidRPr="00BC0918">
        <w:rPr>
          <w:rFonts w:ascii="Arial" w:hAnsi="Arial" w:cs="Arial"/>
          <w:color w:val="010000"/>
          <w:sz w:val="20"/>
        </w:rPr>
        <w:t>Continue to streamline the human resources apparatus, promote the attraction of high-quality human resources, and contribute to building a human resources organization with expertise and capacity to contribute to the Company's development.</w:t>
      </w:r>
    </w:p>
    <w:p w14:paraId="5B3DD4F4" w14:textId="77777777" w:rsidR="0060734F" w:rsidRPr="00BC0918" w:rsidRDefault="0060734F" w:rsidP="00D130DF">
      <w:pPr>
        <w:pBdr>
          <w:top w:val="nil"/>
          <w:left w:val="nil"/>
          <w:bottom w:val="nil"/>
          <w:right w:val="nil"/>
          <w:between w:val="nil"/>
        </w:pBdr>
        <w:tabs>
          <w:tab w:val="left" w:pos="672"/>
        </w:tabs>
        <w:spacing w:after="120" w:line="360" w:lineRule="auto"/>
        <w:jc w:val="both"/>
        <w:rPr>
          <w:rFonts w:ascii="Arial" w:eastAsia="Arial" w:hAnsi="Arial" w:cs="Arial"/>
          <w:color w:val="010000"/>
          <w:sz w:val="20"/>
          <w:szCs w:val="20"/>
        </w:rPr>
      </w:pPr>
      <w:r w:rsidRPr="00BC0918">
        <w:rPr>
          <w:rFonts w:ascii="Arial" w:hAnsi="Arial" w:cs="Arial"/>
          <w:color w:val="010000"/>
          <w:sz w:val="20"/>
        </w:rPr>
        <w:t>Production and business results in 2023:</w:t>
      </w:r>
    </w:p>
    <w:p w14:paraId="6E1F8867" w14:textId="77777777" w:rsidR="0060734F" w:rsidRPr="00BC0918" w:rsidRDefault="0060734F" w:rsidP="00D130DF">
      <w:pPr>
        <w:pStyle w:val="Vnbnnidung0"/>
        <w:spacing w:after="120" w:line="360" w:lineRule="auto"/>
        <w:jc w:val="both"/>
        <w:rPr>
          <w:rFonts w:ascii="Arial" w:hAnsi="Arial" w:cs="Arial"/>
          <w:color w:val="010000"/>
          <w:sz w:val="20"/>
        </w:rPr>
      </w:pPr>
      <w:r w:rsidRPr="00BC0918">
        <w:rPr>
          <w:rFonts w:ascii="Arial" w:hAnsi="Arial" w:cs="Arial"/>
          <w:color w:val="010000"/>
          <w:sz w:val="20"/>
        </w:rPr>
        <w:t>(Unit: Million VND)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8"/>
        <w:gridCol w:w="2949"/>
        <w:gridCol w:w="1900"/>
        <w:gridCol w:w="2066"/>
        <w:gridCol w:w="1594"/>
      </w:tblGrid>
      <w:tr w:rsidR="0060734F" w:rsidRPr="00BC0918" w14:paraId="3A9B77B3" w14:textId="77777777" w:rsidTr="00BA10C2">
        <w:tc>
          <w:tcPr>
            <w:tcW w:w="297" w:type="pct"/>
            <w:shd w:val="clear" w:color="auto" w:fill="auto"/>
            <w:vAlign w:val="center"/>
          </w:tcPr>
          <w:p w14:paraId="4AC0C99C"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No.</w:t>
            </w:r>
          </w:p>
        </w:tc>
        <w:tc>
          <w:tcPr>
            <w:tcW w:w="1630" w:type="pct"/>
            <w:shd w:val="clear" w:color="auto" w:fill="auto"/>
            <w:vAlign w:val="center"/>
          </w:tcPr>
          <w:p w14:paraId="6103389E" w14:textId="77777777" w:rsidR="0060734F" w:rsidRPr="00BC0918" w:rsidRDefault="0060734F" w:rsidP="00BA10C2">
            <w:pPr>
              <w:pStyle w:val="Khc0"/>
              <w:tabs>
                <w:tab w:val="left" w:pos="950"/>
              </w:tabs>
              <w:spacing w:after="120" w:line="360" w:lineRule="auto"/>
              <w:rPr>
                <w:rFonts w:ascii="Arial" w:hAnsi="Arial" w:cs="Arial"/>
                <w:color w:val="010000"/>
                <w:sz w:val="20"/>
              </w:rPr>
            </w:pPr>
            <w:r w:rsidRPr="00BC0918">
              <w:rPr>
                <w:rFonts w:ascii="Arial" w:hAnsi="Arial" w:cs="Arial"/>
                <w:color w:val="010000"/>
                <w:sz w:val="20"/>
              </w:rPr>
              <w:t>Targets</w:t>
            </w:r>
          </w:p>
        </w:tc>
        <w:tc>
          <w:tcPr>
            <w:tcW w:w="1050" w:type="pct"/>
            <w:shd w:val="clear" w:color="auto" w:fill="auto"/>
            <w:vAlign w:val="center"/>
          </w:tcPr>
          <w:p w14:paraId="539FE229"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Plan in 2023</w:t>
            </w:r>
          </w:p>
        </w:tc>
        <w:tc>
          <w:tcPr>
            <w:tcW w:w="1142" w:type="pct"/>
            <w:shd w:val="clear" w:color="auto" w:fill="auto"/>
            <w:vAlign w:val="center"/>
          </w:tcPr>
          <w:p w14:paraId="37B413CA"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Results in 2023</w:t>
            </w:r>
          </w:p>
        </w:tc>
        <w:tc>
          <w:tcPr>
            <w:tcW w:w="881" w:type="pct"/>
            <w:shd w:val="clear" w:color="auto" w:fill="auto"/>
            <w:vAlign w:val="center"/>
          </w:tcPr>
          <w:p w14:paraId="1267FE82"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Results in 2023/Plan in 2023</w:t>
            </w:r>
          </w:p>
        </w:tc>
      </w:tr>
      <w:tr w:rsidR="0060734F" w:rsidRPr="00BC0918" w14:paraId="72286E18" w14:textId="77777777" w:rsidTr="00BA10C2">
        <w:tc>
          <w:tcPr>
            <w:tcW w:w="297" w:type="pct"/>
            <w:shd w:val="clear" w:color="auto" w:fill="auto"/>
            <w:vAlign w:val="center"/>
          </w:tcPr>
          <w:p w14:paraId="794BE9E3"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1</w:t>
            </w:r>
          </w:p>
        </w:tc>
        <w:tc>
          <w:tcPr>
            <w:tcW w:w="1630" w:type="pct"/>
            <w:shd w:val="clear" w:color="auto" w:fill="auto"/>
            <w:vAlign w:val="center"/>
          </w:tcPr>
          <w:p w14:paraId="70589DD3"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Net revenue from goods sales and service provision</w:t>
            </w:r>
          </w:p>
        </w:tc>
        <w:tc>
          <w:tcPr>
            <w:tcW w:w="1050" w:type="pct"/>
            <w:shd w:val="clear" w:color="auto" w:fill="auto"/>
            <w:vAlign w:val="center"/>
          </w:tcPr>
          <w:p w14:paraId="12ABAB4E"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134,970</w:t>
            </w:r>
          </w:p>
        </w:tc>
        <w:tc>
          <w:tcPr>
            <w:tcW w:w="1142" w:type="pct"/>
            <w:shd w:val="clear" w:color="auto" w:fill="auto"/>
            <w:vAlign w:val="center"/>
          </w:tcPr>
          <w:p w14:paraId="5ED7885B"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138,638</w:t>
            </w:r>
          </w:p>
        </w:tc>
        <w:tc>
          <w:tcPr>
            <w:tcW w:w="881" w:type="pct"/>
            <w:shd w:val="clear" w:color="auto" w:fill="auto"/>
            <w:vAlign w:val="center"/>
          </w:tcPr>
          <w:p w14:paraId="0D96EDAB"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102.72%</w:t>
            </w:r>
          </w:p>
        </w:tc>
      </w:tr>
      <w:tr w:rsidR="0060734F" w:rsidRPr="00BC0918" w14:paraId="08EC78CD" w14:textId="77777777" w:rsidTr="00BA10C2">
        <w:tc>
          <w:tcPr>
            <w:tcW w:w="297" w:type="pct"/>
            <w:shd w:val="clear" w:color="auto" w:fill="auto"/>
            <w:vAlign w:val="center"/>
          </w:tcPr>
          <w:p w14:paraId="141478AC"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2</w:t>
            </w:r>
          </w:p>
        </w:tc>
        <w:tc>
          <w:tcPr>
            <w:tcW w:w="1630" w:type="pct"/>
            <w:shd w:val="clear" w:color="auto" w:fill="auto"/>
            <w:vAlign w:val="center"/>
          </w:tcPr>
          <w:p w14:paraId="70660BF7" w14:textId="059E50C0"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Profit before tax</w:t>
            </w:r>
          </w:p>
        </w:tc>
        <w:tc>
          <w:tcPr>
            <w:tcW w:w="1050" w:type="pct"/>
            <w:shd w:val="clear" w:color="auto" w:fill="auto"/>
            <w:vAlign w:val="center"/>
          </w:tcPr>
          <w:p w14:paraId="15E5E663"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30,524</w:t>
            </w:r>
          </w:p>
        </w:tc>
        <w:tc>
          <w:tcPr>
            <w:tcW w:w="1142" w:type="pct"/>
            <w:shd w:val="clear" w:color="auto" w:fill="auto"/>
            <w:vAlign w:val="center"/>
          </w:tcPr>
          <w:p w14:paraId="2FC42DEC"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83,039</w:t>
            </w:r>
          </w:p>
        </w:tc>
        <w:tc>
          <w:tcPr>
            <w:tcW w:w="881" w:type="pct"/>
            <w:shd w:val="clear" w:color="auto" w:fill="auto"/>
            <w:vAlign w:val="center"/>
          </w:tcPr>
          <w:p w14:paraId="142274EE"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272.05%</w:t>
            </w:r>
          </w:p>
        </w:tc>
      </w:tr>
      <w:tr w:rsidR="0060734F" w:rsidRPr="00BC0918" w14:paraId="5197760B" w14:textId="77777777" w:rsidTr="00BA10C2">
        <w:tc>
          <w:tcPr>
            <w:tcW w:w="297" w:type="pct"/>
            <w:shd w:val="clear" w:color="auto" w:fill="auto"/>
            <w:vAlign w:val="center"/>
          </w:tcPr>
          <w:p w14:paraId="72E2F5A2"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3</w:t>
            </w:r>
          </w:p>
        </w:tc>
        <w:tc>
          <w:tcPr>
            <w:tcW w:w="1630" w:type="pct"/>
            <w:shd w:val="clear" w:color="auto" w:fill="auto"/>
            <w:vAlign w:val="center"/>
          </w:tcPr>
          <w:p w14:paraId="07F64BA7" w14:textId="77777777" w:rsidR="0060734F" w:rsidRPr="00BC0918" w:rsidRDefault="0060734F" w:rsidP="00BA10C2">
            <w:pPr>
              <w:pStyle w:val="Khc0"/>
              <w:tabs>
                <w:tab w:val="left" w:pos="2669"/>
              </w:tabs>
              <w:spacing w:after="120" w:line="360" w:lineRule="auto"/>
              <w:rPr>
                <w:rFonts w:ascii="Arial" w:hAnsi="Arial" w:cs="Arial"/>
                <w:color w:val="010000"/>
                <w:sz w:val="20"/>
              </w:rPr>
            </w:pPr>
            <w:r w:rsidRPr="00BC0918">
              <w:rPr>
                <w:rFonts w:ascii="Arial" w:hAnsi="Arial" w:cs="Arial"/>
                <w:color w:val="010000"/>
                <w:sz w:val="20"/>
              </w:rPr>
              <w:t xml:space="preserve">Profit after tax </w:t>
            </w:r>
          </w:p>
        </w:tc>
        <w:tc>
          <w:tcPr>
            <w:tcW w:w="1050" w:type="pct"/>
            <w:shd w:val="clear" w:color="auto" w:fill="auto"/>
            <w:vAlign w:val="center"/>
          </w:tcPr>
          <w:p w14:paraId="0EC10CA1"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24,271</w:t>
            </w:r>
          </w:p>
        </w:tc>
        <w:tc>
          <w:tcPr>
            <w:tcW w:w="1142" w:type="pct"/>
            <w:shd w:val="clear" w:color="auto" w:fill="auto"/>
            <w:vAlign w:val="center"/>
          </w:tcPr>
          <w:p w14:paraId="1F0E307E"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72,975</w:t>
            </w:r>
          </w:p>
        </w:tc>
        <w:tc>
          <w:tcPr>
            <w:tcW w:w="881" w:type="pct"/>
            <w:shd w:val="clear" w:color="auto" w:fill="auto"/>
            <w:vAlign w:val="center"/>
          </w:tcPr>
          <w:p w14:paraId="7E67077E"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300.67%</w:t>
            </w:r>
          </w:p>
        </w:tc>
      </w:tr>
      <w:tr w:rsidR="0060734F" w:rsidRPr="00BC0918" w14:paraId="30906B90" w14:textId="77777777" w:rsidTr="00BA10C2">
        <w:tc>
          <w:tcPr>
            <w:tcW w:w="297" w:type="pct"/>
            <w:shd w:val="clear" w:color="auto" w:fill="auto"/>
            <w:vAlign w:val="center"/>
          </w:tcPr>
          <w:p w14:paraId="3A9854D8"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4</w:t>
            </w:r>
          </w:p>
        </w:tc>
        <w:tc>
          <w:tcPr>
            <w:tcW w:w="1630" w:type="pct"/>
            <w:shd w:val="clear" w:color="auto" w:fill="auto"/>
            <w:vAlign w:val="center"/>
          </w:tcPr>
          <w:p w14:paraId="00FBBBF0"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Payable to state budget</w:t>
            </w:r>
          </w:p>
        </w:tc>
        <w:tc>
          <w:tcPr>
            <w:tcW w:w="1050" w:type="pct"/>
            <w:shd w:val="clear" w:color="auto" w:fill="auto"/>
            <w:vAlign w:val="center"/>
          </w:tcPr>
          <w:p w14:paraId="54659504" w14:textId="77777777" w:rsidR="0060734F" w:rsidRPr="00BC0918" w:rsidRDefault="0060734F" w:rsidP="00BA10C2">
            <w:pPr>
              <w:spacing w:after="120" w:line="360" w:lineRule="auto"/>
              <w:rPr>
                <w:rFonts w:ascii="Arial" w:hAnsi="Arial" w:cs="Arial"/>
                <w:color w:val="010000"/>
                <w:sz w:val="20"/>
                <w:szCs w:val="10"/>
              </w:rPr>
            </w:pPr>
          </w:p>
        </w:tc>
        <w:tc>
          <w:tcPr>
            <w:tcW w:w="1142" w:type="pct"/>
            <w:shd w:val="clear" w:color="auto" w:fill="auto"/>
            <w:vAlign w:val="center"/>
          </w:tcPr>
          <w:p w14:paraId="5812A873" w14:textId="77777777" w:rsidR="0060734F" w:rsidRPr="00BC0918" w:rsidRDefault="0060734F" w:rsidP="00BA10C2">
            <w:pPr>
              <w:pStyle w:val="Khc0"/>
              <w:tabs>
                <w:tab w:val="left" w:pos="1777"/>
              </w:tabs>
              <w:spacing w:after="120" w:line="360" w:lineRule="auto"/>
              <w:rPr>
                <w:rFonts w:ascii="Arial" w:hAnsi="Arial" w:cs="Arial"/>
                <w:color w:val="010000"/>
                <w:sz w:val="20"/>
              </w:rPr>
            </w:pPr>
            <w:r w:rsidRPr="00BC0918">
              <w:rPr>
                <w:rFonts w:ascii="Arial" w:hAnsi="Arial" w:cs="Arial"/>
                <w:color w:val="010000"/>
                <w:sz w:val="20"/>
              </w:rPr>
              <w:t xml:space="preserve">18,000 </w:t>
            </w:r>
          </w:p>
        </w:tc>
        <w:tc>
          <w:tcPr>
            <w:tcW w:w="881" w:type="pct"/>
            <w:shd w:val="clear" w:color="auto" w:fill="auto"/>
            <w:vAlign w:val="center"/>
          </w:tcPr>
          <w:p w14:paraId="5ED51B97" w14:textId="77777777" w:rsidR="0060734F" w:rsidRPr="00BC0918" w:rsidRDefault="0060734F" w:rsidP="00BA10C2">
            <w:pPr>
              <w:spacing w:after="120" w:line="360" w:lineRule="auto"/>
              <w:rPr>
                <w:rFonts w:ascii="Arial" w:hAnsi="Arial" w:cs="Arial"/>
                <w:color w:val="010000"/>
                <w:sz w:val="20"/>
                <w:szCs w:val="10"/>
              </w:rPr>
            </w:pPr>
          </w:p>
        </w:tc>
      </w:tr>
    </w:tbl>
    <w:p w14:paraId="2F7B48E2" w14:textId="77777777" w:rsidR="0060734F" w:rsidRPr="00BC0918" w:rsidRDefault="0060734F" w:rsidP="00BA10C2">
      <w:pPr>
        <w:pBdr>
          <w:top w:val="nil"/>
          <w:left w:val="nil"/>
          <w:bottom w:val="nil"/>
          <w:right w:val="nil"/>
          <w:between w:val="nil"/>
        </w:pBdr>
        <w:tabs>
          <w:tab w:val="left" w:pos="506"/>
        </w:tabs>
        <w:spacing w:after="120" w:line="360" w:lineRule="auto"/>
        <w:rPr>
          <w:rFonts w:ascii="Arial" w:eastAsia="Arial" w:hAnsi="Arial" w:cs="Arial"/>
          <w:color w:val="010000"/>
          <w:sz w:val="20"/>
          <w:szCs w:val="20"/>
        </w:rPr>
      </w:pPr>
      <w:r w:rsidRPr="00BC0918">
        <w:rPr>
          <w:rFonts w:ascii="Arial" w:hAnsi="Arial" w:cs="Arial"/>
          <w:color w:val="010000"/>
          <w:sz w:val="20"/>
        </w:rPr>
        <w:t>Production and business plan for 2024:</w:t>
      </w:r>
    </w:p>
    <w:p w14:paraId="27A7CA37" w14:textId="258C9777" w:rsidR="0060734F" w:rsidRPr="00BC0918" w:rsidRDefault="0060734F" w:rsidP="00BA10C2">
      <w:pPr>
        <w:pStyle w:val="Chthchbng0"/>
        <w:spacing w:after="120" w:line="360" w:lineRule="auto"/>
        <w:ind w:left="0" w:firstLine="0"/>
        <w:rPr>
          <w:rFonts w:ascii="Arial" w:hAnsi="Arial" w:cs="Arial"/>
          <w:color w:val="010000"/>
          <w:sz w:val="20"/>
        </w:rPr>
      </w:pPr>
      <w:r w:rsidRPr="00BC0918">
        <w:rPr>
          <w:rFonts w:ascii="Arial" w:hAnsi="Arial" w:cs="Arial"/>
          <w:color w:val="010000"/>
          <w:sz w:val="20"/>
        </w:rPr>
        <w:t>(Unit: Million VND</w:t>
      </w:r>
      <w:r w:rsidR="00B77180" w:rsidRPr="00BC0918">
        <w:rPr>
          <w:rFonts w:ascii="Arial" w:hAnsi="Arial" w:cs="Arial"/>
          <w:color w:val="010000"/>
          <w:sz w:val="20"/>
        </w:rPr>
        <w: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78"/>
        <w:gridCol w:w="4960"/>
        <w:gridCol w:w="3409"/>
      </w:tblGrid>
      <w:tr w:rsidR="0060734F" w:rsidRPr="00BC0918" w14:paraId="17EB0051" w14:textId="77777777" w:rsidTr="00BA10C2">
        <w:tc>
          <w:tcPr>
            <w:tcW w:w="375" w:type="pct"/>
            <w:shd w:val="clear" w:color="auto" w:fill="auto"/>
            <w:vAlign w:val="center"/>
          </w:tcPr>
          <w:p w14:paraId="6B0557BA"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No.</w:t>
            </w:r>
          </w:p>
        </w:tc>
        <w:tc>
          <w:tcPr>
            <w:tcW w:w="2741" w:type="pct"/>
            <w:shd w:val="clear" w:color="auto" w:fill="auto"/>
            <w:vAlign w:val="center"/>
          </w:tcPr>
          <w:p w14:paraId="470359CE"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Targets</w:t>
            </w:r>
          </w:p>
        </w:tc>
        <w:tc>
          <w:tcPr>
            <w:tcW w:w="1884" w:type="pct"/>
            <w:shd w:val="clear" w:color="auto" w:fill="auto"/>
            <w:vAlign w:val="center"/>
          </w:tcPr>
          <w:p w14:paraId="66990894"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Plan for 2024</w:t>
            </w:r>
          </w:p>
        </w:tc>
      </w:tr>
      <w:tr w:rsidR="0060734F" w:rsidRPr="00BC0918" w14:paraId="3C84E49A" w14:textId="77777777" w:rsidTr="00BA10C2">
        <w:tc>
          <w:tcPr>
            <w:tcW w:w="375" w:type="pct"/>
            <w:shd w:val="clear" w:color="auto" w:fill="auto"/>
            <w:vAlign w:val="center"/>
          </w:tcPr>
          <w:p w14:paraId="2D77E224"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1</w:t>
            </w:r>
          </w:p>
        </w:tc>
        <w:tc>
          <w:tcPr>
            <w:tcW w:w="2741" w:type="pct"/>
            <w:shd w:val="clear" w:color="auto" w:fill="auto"/>
            <w:vAlign w:val="center"/>
          </w:tcPr>
          <w:p w14:paraId="6B2B5A30"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Total revenue</w:t>
            </w:r>
          </w:p>
        </w:tc>
        <w:tc>
          <w:tcPr>
            <w:tcW w:w="1884" w:type="pct"/>
            <w:shd w:val="clear" w:color="auto" w:fill="auto"/>
            <w:vAlign w:val="center"/>
          </w:tcPr>
          <w:p w14:paraId="792FDED7"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140,500</w:t>
            </w:r>
          </w:p>
        </w:tc>
      </w:tr>
      <w:tr w:rsidR="0060734F" w:rsidRPr="00BC0918" w14:paraId="07B29165" w14:textId="77777777" w:rsidTr="00BA10C2">
        <w:tc>
          <w:tcPr>
            <w:tcW w:w="375" w:type="pct"/>
            <w:shd w:val="clear" w:color="auto" w:fill="auto"/>
            <w:vAlign w:val="center"/>
          </w:tcPr>
          <w:p w14:paraId="5142C395"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bCs/>
                <w:color w:val="010000"/>
                <w:sz w:val="20"/>
              </w:rPr>
              <w:t>2</w:t>
            </w:r>
          </w:p>
        </w:tc>
        <w:tc>
          <w:tcPr>
            <w:tcW w:w="2741" w:type="pct"/>
            <w:shd w:val="clear" w:color="auto" w:fill="auto"/>
            <w:vAlign w:val="center"/>
          </w:tcPr>
          <w:p w14:paraId="09560A97"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Gross profit</w:t>
            </w:r>
          </w:p>
        </w:tc>
        <w:tc>
          <w:tcPr>
            <w:tcW w:w="1884" w:type="pct"/>
            <w:shd w:val="clear" w:color="auto" w:fill="auto"/>
            <w:vAlign w:val="center"/>
          </w:tcPr>
          <w:p w14:paraId="44E10611" w14:textId="77777777" w:rsidR="0060734F" w:rsidRPr="00BC0918" w:rsidRDefault="0060734F" w:rsidP="00BA10C2">
            <w:pPr>
              <w:pStyle w:val="Khc0"/>
              <w:tabs>
                <w:tab w:val="left" w:pos="3248"/>
              </w:tabs>
              <w:spacing w:after="120" w:line="360" w:lineRule="auto"/>
              <w:rPr>
                <w:rFonts w:ascii="Arial" w:hAnsi="Arial" w:cs="Arial"/>
                <w:color w:val="010000"/>
                <w:sz w:val="20"/>
              </w:rPr>
            </w:pPr>
            <w:r w:rsidRPr="00BC0918">
              <w:rPr>
                <w:rFonts w:ascii="Arial" w:hAnsi="Arial" w:cs="Arial"/>
                <w:color w:val="010000"/>
                <w:sz w:val="20"/>
              </w:rPr>
              <w:t>27,500</w:t>
            </w:r>
          </w:p>
        </w:tc>
      </w:tr>
      <w:tr w:rsidR="0060734F" w:rsidRPr="00BC0918" w14:paraId="3D2F500D" w14:textId="77777777" w:rsidTr="00BA10C2">
        <w:tc>
          <w:tcPr>
            <w:tcW w:w="375" w:type="pct"/>
            <w:shd w:val="clear" w:color="auto" w:fill="auto"/>
            <w:vAlign w:val="center"/>
          </w:tcPr>
          <w:p w14:paraId="688093A6"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lastRenderedPageBreak/>
              <w:t>3</w:t>
            </w:r>
          </w:p>
        </w:tc>
        <w:tc>
          <w:tcPr>
            <w:tcW w:w="2741" w:type="pct"/>
            <w:shd w:val="clear" w:color="auto" w:fill="auto"/>
            <w:vAlign w:val="center"/>
          </w:tcPr>
          <w:p w14:paraId="27AD3DD8"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Profit before tax</w:t>
            </w:r>
          </w:p>
        </w:tc>
        <w:tc>
          <w:tcPr>
            <w:tcW w:w="1884" w:type="pct"/>
            <w:shd w:val="clear" w:color="auto" w:fill="auto"/>
            <w:vAlign w:val="center"/>
          </w:tcPr>
          <w:p w14:paraId="3C2A4895" w14:textId="77777777" w:rsidR="0060734F" w:rsidRPr="00BC0918" w:rsidRDefault="0060734F" w:rsidP="00BA10C2">
            <w:pPr>
              <w:pStyle w:val="Khc0"/>
              <w:spacing w:after="120" w:line="360" w:lineRule="auto"/>
              <w:rPr>
                <w:rFonts w:ascii="Arial" w:hAnsi="Arial" w:cs="Arial"/>
                <w:color w:val="010000"/>
                <w:sz w:val="20"/>
              </w:rPr>
            </w:pPr>
            <w:r w:rsidRPr="00BC0918">
              <w:rPr>
                <w:rFonts w:ascii="Arial" w:hAnsi="Arial" w:cs="Arial"/>
                <w:color w:val="010000"/>
                <w:sz w:val="20"/>
              </w:rPr>
              <w:t>30,500</w:t>
            </w:r>
          </w:p>
        </w:tc>
      </w:tr>
    </w:tbl>
    <w:p w14:paraId="5B1EC6FB" w14:textId="77777777" w:rsidR="00E94F4F" w:rsidRPr="00BC0918" w:rsidRDefault="0060734F" w:rsidP="00D130DF">
      <w:pPr>
        <w:numPr>
          <w:ilvl w:val="0"/>
          <w:numId w:val="5"/>
        </w:numPr>
        <w:pBdr>
          <w:top w:val="nil"/>
          <w:left w:val="nil"/>
          <w:bottom w:val="nil"/>
          <w:right w:val="nil"/>
          <w:between w:val="nil"/>
        </w:pBdr>
        <w:tabs>
          <w:tab w:val="left" w:pos="506"/>
        </w:tabs>
        <w:spacing w:after="120" w:line="360" w:lineRule="auto"/>
        <w:jc w:val="both"/>
        <w:rPr>
          <w:rFonts w:ascii="Arial" w:eastAsia="Arial" w:hAnsi="Arial" w:cs="Arial"/>
          <w:color w:val="010000"/>
          <w:sz w:val="20"/>
          <w:szCs w:val="20"/>
        </w:rPr>
      </w:pPr>
      <w:r w:rsidRPr="00BC0918">
        <w:rPr>
          <w:rFonts w:ascii="Arial" w:hAnsi="Arial" w:cs="Arial"/>
          <w:color w:val="010000"/>
          <w:sz w:val="20"/>
        </w:rPr>
        <w:t>General Mandate 2: The General Meeting of Shareholders approves the Company's Audited Financial Statements 2023.</w:t>
      </w:r>
    </w:p>
    <w:p w14:paraId="46C4773B" w14:textId="77777777" w:rsidR="00E94F4F" w:rsidRPr="00BC0918" w:rsidRDefault="0060734F" w:rsidP="00D130DF">
      <w:pPr>
        <w:numPr>
          <w:ilvl w:val="0"/>
          <w:numId w:val="5"/>
        </w:numPr>
        <w:pBdr>
          <w:top w:val="nil"/>
          <w:left w:val="nil"/>
          <w:bottom w:val="nil"/>
          <w:right w:val="nil"/>
          <w:between w:val="nil"/>
        </w:pBdr>
        <w:tabs>
          <w:tab w:val="left" w:pos="506"/>
        </w:tabs>
        <w:spacing w:after="120" w:line="360" w:lineRule="auto"/>
        <w:jc w:val="both"/>
        <w:rPr>
          <w:rFonts w:ascii="Arial" w:eastAsia="Arial" w:hAnsi="Arial" w:cs="Arial"/>
          <w:color w:val="010000"/>
          <w:sz w:val="20"/>
          <w:szCs w:val="20"/>
        </w:rPr>
      </w:pPr>
      <w:r w:rsidRPr="00BC0918">
        <w:rPr>
          <w:rFonts w:ascii="Arial" w:hAnsi="Arial" w:cs="Arial"/>
          <w:color w:val="010000"/>
          <w:sz w:val="20"/>
        </w:rPr>
        <w:t>General Mandate 3:</w:t>
      </w:r>
    </w:p>
    <w:p w14:paraId="7A1EE96C" w14:textId="0EBEDF1F" w:rsidR="00E94F4F" w:rsidRPr="00BC0918" w:rsidRDefault="0060734F" w:rsidP="00D130DF">
      <w:pPr>
        <w:numPr>
          <w:ilvl w:val="1"/>
          <w:numId w:val="5"/>
        </w:numPr>
        <w:pBdr>
          <w:top w:val="nil"/>
          <w:left w:val="nil"/>
          <w:bottom w:val="nil"/>
          <w:right w:val="nil"/>
          <w:between w:val="nil"/>
        </w:pBdr>
        <w:tabs>
          <w:tab w:val="left" w:pos="506"/>
        </w:tabs>
        <w:spacing w:after="120" w:line="360" w:lineRule="auto"/>
        <w:jc w:val="both"/>
        <w:rPr>
          <w:rFonts w:ascii="Arial" w:eastAsia="Arial" w:hAnsi="Arial" w:cs="Arial"/>
          <w:color w:val="010000"/>
          <w:sz w:val="20"/>
          <w:szCs w:val="20"/>
        </w:rPr>
      </w:pPr>
      <w:r w:rsidRPr="00BC0918">
        <w:rPr>
          <w:rFonts w:ascii="Arial" w:hAnsi="Arial" w:cs="Arial"/>
          <w:color w:val="010000"/>
          <w:sz w:val="20"/>
        </w:rPr>
        <w:t>The General Meeting of Shareholders approves the Board o</w:t>
      </w:r>
      <w:r w:rsidR="00B77180" w:rsidRPr="00BC0918">
        <w:rPr>
          <w:rFonts w:ascii="Arial" w:hAnsi="Arial" w:cs="Arial"/>
          <w:color w:val="010000"/>
          <w:sz w:val="20"/>
        </w:rPr>
        <w:t>f Directors' Report on operating</w:t>
      </w:r>
      <w:r w:rsidRPr="00BC0918">
        <w:rPr>
          <w:rFonts w:ascii="Arial" w:hAnsi="Arial" w:cs="Arial"/>
          <w:color w:val="010000"/>
          <w:sz w:val="20"/>
        </w:rPr>
        <w:t xml:space="preserve"> results in 2023</w:t>
      </w:r>
      <w:r w:rsidR="00B77180" w:rsidRPr="00BC0918">
        <w:rPr>
          <w:rFonts w:ascii="Arial" w:hAnsi="Arial" w:cs="Arial"/>
          <w:color w:val="010000"/>
          <w:sz w:val="20"/>
        </w:rPr>
        <w:t xml:space="preserve"> and operating</w:t>
      </w:r>
      <w:r w:rsidRPr="00BC0918">
        <w:rPr>
          <w:rFonts w:ascii="Arial" w:hAnsi="Arial" w:cs="Arial"/>
          <w:color w:val="010000"/>
          <w:sz w:val="20"/>
        </w:rPr>
        <w:t xml:space="preserve"> plan for 2024.</w:t>
      </w:r>
    </w:p>
    <w:p w14:paraId="0EEDD005" w14:textId="1F251A4F" w:rsidR="00E94F4F" w:rsidRPr="00BC0918" w:rsidRDefault="0060734F" w:rsidP="00D130DF">
      <w:pPr>
        <w:pBdr>
          <w:top w:val="nil"/>
          <w:left w:val="nil"/>
          <w:bottom w:val="nil"/>
          <w:right w:val="nil"/>
          <w:between w:val="nil"/>
        </w:pBdr>
        <w:spacing w:after="120" w:line="360" w:lineRule="auto"/>
        <w:jc w:val="both"/>
        <w:rPr>
          <w:rFonts w:ascii="Arial" w:eastAsia="Arial" w:hAnsi="Arial" w:cs="Arial"/>
          <w:color w:val="010000"/>
          <w:sz w:val="20"/>
          <w:szCs w:val="20"/>
        </w:rPr>
      </w:pPr>
      <w:r w:rsidRPr="00BC0918">
        <w:rPr>
          <w:rFonts w:ascii="Arial" w:hAnsi="Arial" w:cs="Arial"/>
          <w:color w:val="010000"/>
          <w:sz w:val="20"/>
        </w:rPr>
        <w:t xml:space="preserve">In 2024, the Board of Directors will review the implementation situation and legal procedures to find solutions, speed up progress and create development momentum for projects at member companies with capital contribution of the Company: Project of investing </w:t>
      </w:r>
      <w:r w:rsidR="00B77180" w:rsidRPr="00BC0918">
        <w:rPr>
          <w:rFonts w:ascii="Arial" w:hAnsi="Arial" w:cs="Arial"/>
          <w:color w:val="010000"/>
          <w:sz w:val="20"/>
        </w:rPr>
        <w:t>in</w:t>
      </w:r>
      <w:r w:rsidRPr="00BC0918">
        <w:rPr>
          <w:rFonts w:ascii="Arial" w:hAnsi="Arial" w:cs="Arial"/>
          <w:color w:val="010000"/>
          <w:sz w:val="20"/>
        </w:rPr>
        <w:t xml:space="preserve"> Sao Phuong Don</w:t>
      </w:r>
      <w:r w:rsidR="00B77180" w:rsidRPr="00BC0918">
        <w:rPr>
          <w:rFonts w:ascii="Arial" w:hAnsi="Arial" w:cs="Arial"/>
          <w:color w:val="010000"/>
          <w:sz w:val="20"/>
        </w:rPr>
        <w:t>g Hotel of Orient Star Trading a</w:t>
      </w:r>
      <w:r w:rsidRPr="00BC0918">
        <w:rPr>
          <w:rFonts w:ascii="Arial" w:hAnsi="Arial" w:cs="Arial"/>
          <w:color w:val="010000"/>
          <w:sz w:val="20"/>
        </w:rPr>
        <w:t xml:space="preserve">nd Tourism Joint Stock Company; Project of renovating, repairing and upgrading Pullman Hotel of Global </w:t>
      </w:r>
      <w:proofErr w:type="spellStart"/>
      <w:r w:rsidRPr="00BC0918">
        <w:rPr>
          <w:rFonts w:ascii="Arial" w:hAnsi="Arial" w:cs="Arial"/>
          <w:color w:val="010000"/>
          <w:sz w:val="20"/>
        </w:rPr>
        <w:t>Toserco</w:t>
      </w:r>
      <w:proofErr w:type="spellEnd"/>
      <w:r w:rsidRPr="00BC0918">
        <w:rPr>
          <w:rFonts w:ascii="Arial" w:hAnsi="Arial" w:cs="Arial"/>
          <w:color w:val="010000"/>
          <w:sz w:val="20"/>
        </w:rPr>
        <w:t xml:space="preserve"> Limited, Hanoi Hotel of Hanoi Hotel Joint Venture Co., Ltd.</w:t>
      </w:r>
    </w:p>
    <w:p w14:paraId="545205FD" w14:textId="77777777" w:rsidR="00E94F4F" w:rsidRPr="00BC0918" w:rsidRDefault="0060734F" w:rsidP="00D130DF">
      <w:pPr>
        <w:numPr>
          <w:ilvl w:val="1"/>
          <w:numId w:val="5"/>
        </w:numPr>
        <w:pBdr>
          <w:top w:val="nil"/>
          <w:left w:val="nil"/>
          <w:bottom w:val="nil"/>
          <w:right w:val="nil"/>
          <w:between w:val="nil"/>
        </w:pBdr>
        <w:tabs>
          <w:tab w:val="left" w:pos="506"/>
        </w:tabs>
        <w:spacing w:after="120" w:line="360" w:lineRule="auto"/>
        <w:jc w:val="both"/>
        <w:rPr>
          <w:rFonts w:ascii="Arial" w:eastAsia="Arial" w:hAnsi="Arial" w:cs="Arial"/>
          <w:color w:val="010000"/>
          <w:sz w:val="20"/>
          <w:szCs w:val="20"/>
        </w:rPr>
      </w:pPr>
      <w:r w:rsidRPr="00BC0918">
        <w:rPr>
          <w:rFonts w:ascii="Arial" w:hAnsi="Arial" w:cs="Arial"/>
          <w:color w:val="010000"/>
          <w:sz w:val="20"/>
        </w:rPr>
        <w:t>The General Meeting of Shareholders authorizes the Board of Directors to:</w:t>
      </w:r>
    </w:p>
    <w:p w14:paraId="69BCA143" w14:textId="4D8B9898" w:rsidR="00E94F4F" w:rsidRPr="00BC0918" w:rsidRDefault="0060734F" w:rsidP="00D130DF">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BC0918">
        <w:rPr>
          <w:rFonts w:ascii="Arial" w:hAnsi="Arial" w:cs="Arial"/>
          <w:color w:val="010000"/>
          <w:sz w:val="20"/>
        </w:rPr>
        <w:t xml:space="preserve">Approve, decide, and adjust </w:t>
      </w:r>
      <w:r w:rsidR="00655F61" w:rsidRPr="00BC0918">
        <w:rPr>
          <w:rFonts w:ascii="Arial" w:hAnsi="Arial" w:cs="Arial"/>
          <w:color w:val="010000"/>
          <w:sz w:val="20"/>
        </w:rPr>
        <w:t xml:space="preserve">the </w:t>
      </w:r>
      <w:r w:rsidRPr="00BC0918">
        <w:rPr>
          <w:rFonts w:ascii="Arial" w:hAnsi="Arial" w:cs="Arial"/>
          <w:color w:val="010000"/>
          <w:sz w:val="20"/>
        </w:rPr>
        <w:t>business plan and budget in 2024 of the Company</w:t>
      </w:r>
    </w:p>
    <w:p w14:paraId="048365D4" w14:textId="77777777" w:rsidR="00E94F4F" w:rsidRPr="00BC0918" w:rsidRDefault="0060734F" w:rsidP="00D130DF">
      <w:pPr>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BC0918">
        <w:rPr>
          <w:rFonts w:ascii="Arial" w:hAnsi="Arial" w:cs="Arial"/>
          <w:color w:val="010000"/>
          <w:sz w:val="20"/>
        </w:rPr>
        <w:t>Continue to review and promulgate the Company's Charter and internal regulations in accordance with the law.</w:t>
      </w:r>
    </w:p>
    <w:p w14:paraId="3FE62B5D" w14:textId="77777777" w:rsidR="00E94F4F" w:rsidRPr="00BC0918" w:rsidRDefault="0060734F" w:rsidP="00D130DF">
      <w:pPr>
        <w:numPr>
          <w:ilvl w:val="0"/>
          <w:numId w:val="5"/>
        </w:numPr>
        <w:pBdr>
          <w:top w:val="nil"/>
          <w:left w:val="nil"/>
          <w:bottom w:val="nil"/>
          <w:right w:val="nil"/>
          <w:between w:val="nil"/>
        </w:pBdr>
        <w:tabs>
          <w:tab w:val="left" w:pos="464"/>
        </w:tabs>
        <w:spacing w:after="120" w:line="360" w:lineRule="auto"/>
        <w:jc w:val="both"/>
        <w:rPr>
          <w:rFonts w:ascii="Arial" w:eastAsia="Arial" w:hAnsi="Arial" w:cs="Arial"/>
          <w:color w:val="010000"/>
          <w:sz w:val="20"/>
          <w:szCs w:val="20"/>
        </w:rPr>
      </w:pPr>
      <w:r w:rsidRPr="00BC0918">
        <w:rPr>
          <w:rFonts w:ascii="Arial" w:hAnsi="Arial" w:cs="Arial"/>
          <w:color w:val="010000"/>
          <w:sz w:val="20"/>
        </w:rPr>
        <w:t>General Mandate 4: The General Meeting of Shareholders approves the Report on the activities of the Supervisory Board to submit to the Annual General Meeting of Shareholders 2024.</w:t>
      </w:r>
    </w:p>
    <w:p w14:paraId="7C1A7535" w14:textId="77777777" w:rsidR="00E94F4F" w:rsidRPr="00BC0918" w:rsidRDefault="0060734F" w:rsidP="00D130DF">
      <w:pPr>
        <w:numPr>
          <w:ilvl w:val="0"/>
          <w:numId w:val="5"/>
        </w:numPr>
        <w:pBdr>
          <w:top w:val="nil"/>
          <w:left w:val="nil"/>
          <w:bottom w:val="nil"/>
          <w:right w:val="nil"/>
          <w:between w:val="nil"/>
        </w:pBdr>
        <w:tabs>
          <w:tab w:val="left" w:pos="464"/>
        </w:tabs>
        <w:spacing w:after="120" w:line="360" w:lineRule="auto"/>
        <w:jc w:val="both"/>
        <w:rPr>
          <w:rFonts w:ascii="Arial" w:eastAsia="Arial" w:hAnsi="Arial" w:cs="Arial"/>
          <w:color w:val="010000"/>
          <w:sz w:val="20"/>
          <w:szCs w:val="20"/>
        </w:rPr>
      </w:pPr>
      <w:r w:rsidRPr="00BC0918">
        <w:rPr>
          <w:rFonts w:ascii="Arial" w:hAnsi="Arial" w:cs="Arial"/>
          <w:color w:val="010000"/>
          <w:sz w:val="20"/>
        </w:rPr>
        <w:t>General Mandate 5: The General Meeting of Shareholders approves the profit after tax distribution plan in 2023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0"/>
        <w:gridCol w:w="5960"/>
        <w:gridCol w:w="2367"/>
      </w:tblGrid>
      <w:tr w:rsidR="00E94F4F" w:rsidRPr="00BC0918" w14:paraId="2C164319" w14:textId="77777777" w:rsidTr="00BA10C2">
        <w:tc>
          <w:tcPr>
            <w:tcW w:w="398" w:type="pct"/>
            <w:shd w:val="clear" w:color="auto" w:fill="auto"/>
            <w:tcMar>
              <w:top w:w="0" w:type="dxa"/>
              <w:bottom w:w="0" w:type="dxa"/>
            </w:tcMar>
            <w:vAlign w:val="center"/>
          </w:tcPr>
          <w:p w14:paraId="1E0F7E13" w14:textId="77777777" w:rsidR="00E94F4F" w:rsidRPr="00BC0918" w:rsidRDefault="0060734F" w:rsidP="00BA10C2">
            <w:pPr>
              <w:pBdr>
                <w:top w:val="nil"/>
                <w:left w:val="nil"/>
                <w:bottom w:val="nil"/>
                <w:right w:val="nil"/>
                <w:between w:val="nil"/>
              </w:pBdr>
              <w:spacing w:after="120" w:line="360" w:lineRule="auto"/>
              <w:jc w:val="center"/>
              <w:rPr>
                <w:rFonts w:ascii="Arial" w:eastAsia="Arial" w:hAnsi="Arial" w:cs="Arial"/>
                <w:color w:val="010000"/>
                <w:sz w:val="20"/>
                <w:szCs w:val="20"/>
              </w:rPr>
            </w:pPr>
            <w:r w:rsidRPr="00BC0918">
              <w:rPr>
                <w:rFonts w:ascii="Arial" w:hAnsi="Arial" w:cs="Arial"/>
                <w:color w:val="010000"/>
                <w:sz w:val="20"/>
              </w:rPr>
              <w:t>No.</w:t>
            </w:r>
          </w:p>
        </w:tc>
        <w:tc>
          <w:tcPr>
            <w:tcW w:w="3294" w:type="pct"/>
            <w:shd w:val="clear" w:color="auto" w:fill="auto"/>
            <w:tcMar>
              <w:top w:w="0" w:type="dxa"/>
              <w:bottom w:w="0" w:type="dxa"/>
            </w:tcMar>
            <w:vAlign w:val="center"/>
          </w:tcPr>
          <w:p w14:paraId="53645047" w14:textId="77777777" w:rsidR="00E94F4F" w:rsidRPr="00BC0918" w:rsidRDefault="0060734F" w:rsidP="00BA10C2">
            <w:pPr>
              <w:pBdr>
                <w:top w:val="nil"/>
                <w:left w:val="nil"/>
                <w:bottom w:val="nil"/>
                <w:right w:val="nil"/>
                <w:between w:val="nil"/>
              </w:pBdr>
              <w:spacing w:after="120" w:line="360" w:lineRule="auto"/>
              <w:jc w:val="center"/>
              <w:rPr>
                <w:rFonts w:ascii="Arial" w:eastAsia="Arial" w:hAnsi="Arial" w:cs="Arial"/>
                <w:color w:val="010000"/>
                <w:sz w:val="20"/>
                <w:szCs w:val="20"/>
              </w:rPr>
            </w:pPr>
            <w:r w:rsidRPr="00BC0918">
              <w:rPr>
                <w:rFonts w:ascii="Arial" w:hAnsi="Arial" w:cs="Arial"/>
                <w:color w:val="010000"/>
                <w:sz w:val="20"/>
              </w:rPr>
              <w:t>Item</w:t>
            </w:r>
          </w:p>
        </w:tc>
        <w:tc>
          <w:tcPr>
            <w:tcW w:w="1308" w:type="pct"/>
            <w:shd w:val="clear" w:color="auto" w:fill="auto"/>
            <w:tcMar>
              <w:top w:w="0" w:type="dxa"/>
              <w:bottom w:w="0" w:type="dxa"/>
            </w:tcMar>
            <w:vAlign w:val="center"/>
          </w:tcPr>
          <w:p w14:paraId="4A68A888" w14:textId="77777777" w:rsidR="00E94F4F" w:rsidRPr="00BC0918" w:rsidRDefault="0060734F" w:rsidP="00BA10C2">
            <w:pPr>
              <w:pBdr>
                <w:top w:val="nil"/>
                <w:left w:val="nil"/>
                <w:bottom w:val="nil"/>
                <w:right w:val="nil"/>
                <w:between w:val="nil"/>
              </w:pBdr>
              <w:spacing w:after="120" w:line="360" w:lineRule="auto"/>
              <w:jc w:val="center"/>
              <w:rPr>
                <w:rFonts w:ascii="Arial" w:eastAsia="Arial" w:hAnsi="Arial" w:cs="Arial"/>
                <w:color w:val="010000"/>
                <w:sz w:val="20"/>
                <w:szCs w:val="20"/>
              </w:rPr>
            </w:pPr>
            <w:r w:rsidRPr="00BC0918">
              <w:rPr>
                <w:rFonts w:ascii="Arial" w:hAnsi="Arial" w:cs="Arial"/>
                <w:color w:val="010000"/>
                <w:sz w:val="20"/>
              </w:rPr>
              <w:t>Amount</w:t>
            </w:r>
          </w:p>
        </w:tc>
      </w:tr>
      <w:tr w:rsidR="00E94F4F" w:rsidRPr="00BC0918" w14:paraId="75B0BF56" w14:textId="77777777" w:rsidTr="00BA10C2">
        <w:tc>
          <w:tcPr>
            <w:tcW w:w="398" w:type="pct"/>
            <w:shd w:val="clear" w:color="auto" w:fill="auto"/>
            <w:tcMar>
              <w:top w:w="0" w:type="dxa"/>
              <w:bottom w:w="0" w:type="dxa"/>
            </w:tcMar>
            <w:vAlign w:val="center"/>
          </w:tcPr>
          <w:p w14:paraId="6D18D9D1" w14:textId="77777777" w:rsidR="00E94F4F" w:rsidRPr="00BC0918" w:rsidRDefault="0060734F" w:rsidP="00BA10C2">
            <w:pPr>
              <w:pBdr>
                <w:top w:val="nil"/>
                <w:left w:val="nil"/>
                <w:bottom w:val="nil"/>
                <w:right w:val="nil"/>
                <w:between w:val="nil"/>
              </w:pBdr>
              <w:spacing w:after="120" w:line="360" w:lineRule="auto"/>
              <w:jc w:val="center"/>
              <w:rPr>
                <w:rFonts w:ascii="Arial" w:eastAsia="Arial" w:hAnsi="Arial" w:cs="Arial"/>
                <w:color w:val="010000"/>
                <w:sz w:val="20"/>
                <w:szCs w:val="20"/>
              </w:rPr>
            </w:pPr>
            <w:r w:rsidRPr="00BC0918">
              <w:rPr>
                <w:rFonts w:ascii="Arial" w:hAnsi="Arial" w:cs="Arial"/>
                <w:color w:val="010000"/>
                <w:sz w:val="20"/>
              </w:rPr>
              <w:t>A</w:t>
            </w:r>
          </w:p>
        </w:tc>
        <w:tc>
          <w:tcPr>
            <w:tcW w:w="3294" w:type="pct"/>
            <w:shd w:val="clear" w:color="auto" w:fill="auto"/>
            <w:tcMar>
              <w:top w:w="0" w:type="dxa"/>
              <w:bottom w:w="0" w:type="dxa"/>
            </w:tcMar>
            <w:vAlign w:val="center"/>
          </w:tcPr>
          <w:p w14:paraId="6D69088E" w14:textId="1A8AE831" w:rsidR="00E94F4F" w:rsidRPr="00BC0918" w:rsidRDefault="0060734F" w:rsidP="00BA10C2">
            <w:pPr>
              <w:pBdr>
                <w:top w:val="nil"/>
                <w:left w:val="nil"/>
                <w:bottom w:val="nil"/>
                <w:right w:val="nil"/>
                <w:between w:val="nil"/>
              </w:pBdr>
              <w:spacing w:after="120" w:line="360" w:lineRule="auto"/>
              <w:rPr>
                <w:rFonts w:ascii="Arial" w:eastAsia="Arial" w:hAnsi="Arial" w:cs="Arial"/>
                <w:color w:val="010000"/>
                <w:sz w:val="20"/>
                <w:szCs w:val="20"/>
              </w:rPr>
            </w:pPr>
            <w:r w:rsidRPr="00BC0918">
              <w:rPr>
                <w:rFonts w:ascii="Arial" w:hAnsi="Arial" w:cs="Arial"/>
                <w:color w:val="010000"/>
                <w:sz w:val="20"/>
              </w:rPr>
              <w:t>Distribution of profit after tax in 2023</w:t>
            </w:r>
          </w:p>
        </w:tc>
        <w:tc>
          <w:tcPr>
            <w:tcW w:w="1308" w:type="pct"/>
            <w:shd w:val="clear" w:color="auto" w:fill="auto"/>
            <w:tcMar>
              <w:top w:w="0" w:type="dxa"/>
              <w:bottom w:w="0" w:type="dxa"/>
            </w:tcMar>
            <w:vAlign w:val="center"/>
          </w:tcPr>
          <w:p w14:paraId="717A237F" w14:textId="77777777" w:rsidR="00E94F4F" w:rsidRPr="00BC0918" w:rsidRDefault="0060734F" w:rsidP="00BA10C2">
            <w:pPr>
              <w:pBdr>
                <w:top w:val="nil"/>
                <w:left w:val="nil"/>
                <w:bottom w:val="nil"/>
                <w:right w:val="nil"/>
                <w:between w:val="nil"/>
              </w:pBdr>
              <w:spacing w:after="120" w:line="360" w:lineRule="auto"/>
              <w:jc w:val="right"/>
              <w:rPr>
                <w:rFonts w:ascii="Arial" w:eastAsia="Arial" w:hAnsi="Arial" w:cs="Arial"/>
                <w:color w:val="010000"/>
                <w:sz w:val="20"/>
                <w:szCs w:val="20"/>
              </w:rPr>
            </w:pPr>
            <w:r w:rsidRPr="00BC0918">
              <w:rPr>
                <w:rFonts w:ascii="Arial" w:hAnsi="Arial" w:cs="Arial"/>
                <w:color w:val="010000"/>
                <w:sz w:val="20"/>
              </w:rPr>
              <w:t>75,443,112,886</w:t>
            </w:r>
          </w:p>
        </w:tc>
      </w:tr>
      <w:tr w:rsidR="00E94F4F" w:rsidRPr="00BC0918" w14:paraId="028F3FD3" w14:textId="77777777" w:rsidTr="00BA10C2">
        <w:tc>
          <w:tcPr>
            <w:tcW w:w="398" w:type="pct"/>
            <w:shd w:val="clear" w:color="auto" w:fill="auto"/>
            <w:tcMar>
              <w:top w:w="0" w:type="dxa"/>
              <w:bottom w:w="0" w:type="dxa"/>
            </w:tcMar>
            <w:vAlign w:val="center"/>
          </w:tcPr>
          <w:p w14:paraId="18A93E5B" w14:textId="77777777" w:rsidR="00E94F4F" w:rsidRPr="00BC0918" w:rsidRDefault="0060734F" w:rsidP="00BA10C2">
            <w:pPr>
              <w:spacing w:after="120" w:line="360" w:lineRule="auto"/>
              <w:jc w:val="center"/>
              <w:rPr>
                <w:rFonts w:ascii="Arial" w:eastAsia="Arial" w:hAnsi="Arial" w:cs="Arial"/>
                <w:color w:val="010000"/>
                <w:sz w:val="20"/>
                <w:szCs w:val="20"/>
              </w:rPr>
            </w:pPr>
            <w:r w:rsidRPr="00BC0918">
              <w:rPr>
                <w:rFonts w:ascii="Arial" w:hAnsi="Arial" w:cs="Arial"/>
                <w:color w:val="010000"/>
                <w:sz w:val="20"/>
              </w:rPr>
              <w:t>I</w:t>
            </w:r>
          </w:p>
        </w:tc>
        <w:tc>
          <w:tcPr>
            <w:tcW w:w="3294" w:type="pct"/>
            <w:shd w:val="clear" w:color="auto" w:fill="auto"/>
            <w:tcMar>
              <w:top w:w="0" w:type="dxa"/>
              <w:bottom w:w="0" w:type="dxa"/>
            </w:tcMar>
            <w:vAlign w:val="center"/>
          </w:tcPr>
          <w:p w14:paraId="2FC9E321" w14:textId="77777777" w:rsidR="00E94F4F" w:rsidRPr="00BC0918" w:rsidRDefault="0060734F" w:rsidP="00BA10C2">
            <w:pPr>
              <w:pBdr>
                <w:top w:val="nil"/>
                <w:left w:val="nil"/>
                <w:bottom w:val="nil"/>
                <w:right w:val="nil"/>
                <w:between w:val="nil"/>
              </w:pBdr>
              <w:spacing w:after="120" w:line="360" w:lineRule="auto"/>
              <w:rPr>
                <w:rFonts w:ascii="Arial" w:eastAsia="Arial" w:hAnsi="Arial" w:cs="Arial"/>
                <w:color w:val="010000"/>
                <w:sz w:val="20"/>
                <w:szCs w:val="20"/>
              </w:rPr>
            </w:pPr>
            <w:r w:rsidRPr="00BC0918">
              <w:rPr>
                <w:rFonts w:ascii="Arial" w:hAnsi="Arial" w:cs="Arial"/>
                <w:color w:val="010000"/>
                <w:sz w:val="20"/>
              </w:rPr>
              <w:t>Profit after tax in 2023</w:t>
            </w:r>
          </w:p>
        </w:tc>
        <w:tc>
          <w:tcPr>
            <w:tcW w:w="1308" w:type="pct"/>
            <w:shd w:val="clear" w:color="auto" w:fill="auto"/>
            <w:tcMar>
              <w:top w:w="0" w:type="dxa"/>
              <w:bottom w:w="0" w:type="dxa"/>
            </w:tcMar>
            <w:vAlign w:val="center"/>
          </w:tcPr>
          <w:p w14:paraId="6F1B3A0F" w14:textId="77777777" w:rsidR="00E94F4F" w:rsidRPr="00BC0918" w:rsidRDefault="0060734F" w:rsidP="00BA10C2">
            <w:pPr>
              <w:pBdr>
                <w:top w:val="nil"/>
                <w:left w:val="nil"/>
                <w:bottom w:val="nil"/>
                <w:right w:val="nil"/>
                <w:between w:val="nil"/>
              </w:pBdr>
              <w:spacing w:after="120" w:line="360" w:lineRule="auto"/>
              <w:jc w:val="right"/>
              <w:rPr>
                <w:rFonts w:ascii="Arial" w:eastAsia="Arial" w:hAnsi="Arial" w:cs="Arial"/>
                <w:color w:val="010000"/>
                <w:sz w:val="20"/>
                <w:szCs w:val="20"/>
              </w:rPr>
            </w:pPr>
            <w:r w:rsidRPr="00BC0918">
              <w:rPr>
                <w:rFonts w:ascii="Arial" w:hAnsi="Arial" w:cs="Arial"/>
                <w:color w:val="010000"/>
                <w:sz w:val="20"/>
              </w:rPr>
              <w:t>75,443,112,886</w:t>
            </w:r>
          </w:p>
        </w:tc>
      </w:tr>
      <w:tr w:rsidR="00E94F4F" w:rsidRPr="00BC0918" w14:paraId="6EC6B7B7" w14:textId="77777777" w:rsidTr="00BA10C2">
        <w:tc>
          <w:tcPr>
            <w:tcW w:w="398" w:type="pct"/>
            <w:shd w:val="clear" w:color="auto" w:fill="auto"/>
            <w:tcMar>
              <w:top w:w="0" w:type="dxa"/>
              <w:bottom w:w="0" w:type="dxa"/>
            </w:tcMar>
            <w:vAlign w:val="center"/>
          </w:tcPr>
          <w:p w14:paraId="4C902432" w14:textId="77777777" w:rsidR="00E94F4F" w:rsidRPr="00BC0918" w:rsidRDefault="0060734F" w:rsidP="00BA10C2">
            <w:pPr>
              <w:pBdr>
                <w:top w:val="nil"/>
                <w:left w:val="nil"/>
                <w:bottom w:val="nil"/>
                <w:right w:val="nil"/>
                <w:between w:val="nil"/>
              </w:pBdr>
              <w:spacing w:after="120" w:line="360" w:lineRule="auto"/>
              <w:jc w:val="center"/>
              <w:rPr>
                <w:rFonts w:ascii="Arial" w:eastAsia="Arial" w:hAnsi="Arial" w:cs="Arial"/>
                <w:color w:val="010000"/>
                <w:sz w:val="20"/>
                <w:szCs w:val="20"/>
              </w:rPr>
            </w:pPr>
            <w:r w:rsidRPr="00BC0918">
              <w:rPr>
                <w:rFonts w:ascii="Arial" w:hAnsi="Arial" w:cs="Arial"/>
                <w:color w:val="010000"/>
                <w:sz w:val="20"/>
              </w:rPr>
              <w:t>II</w:t>
            </w:r>
          </w:p>
        </w:tc>
        <w:tc>
          <w:tcPr>
            <w:tcW w:w="3294" w:type="pct"/>
            <w:shd w:val="clear" w:color="auto" w:fill="auto"/>
            <w:tcMar>
              <w:top w:w="0" w:type="dxa"/>
              <w:bottom w:w="0" w:type="dxa"/>
            </w:tcMar>
            <w:vAlign w:val="center"/>
          </w:tcPr>
          <w:p w14:paraId="50C961E4" w14:textId="5DFA6E8D" w:rsidR="00E94F4F" w:rsidRPr="00BC0918" w:rsidRDefault="0060734F" w:rsidP="00BA10C2">
            <w:pPr>
              <w:pBdr>
                <w:top w:val="nil"/>
                <w:left w:val="nil"/>
                <w:bottom w:val="nil"/>
                <w:right w:val="nil"/>
                <w:between w:val="nil"/>
              </w:pBdr>
              <w:spacing w:after="120" w:line="360" w:lineRule="auto"/>
              <w:rPr>
                <w:rFonts w:ascii="Arial" w:eastAsia="Arial" w:hAnsi="Arial" w:cs="Arial"/>
                <w:color w:val="010000"/>
                <w:sz w:val="20"/>
                <w:szCs w:val="20"/>
              </w:rPr>
            </w:pPr>
            <w:r w:rsidRPr="00BC0918">
              <w:rPr>
                <w:rFonts w:ascii="Arial" w:hAnsi="Arial" w:cs="Arial"/>
                <w:color w:val="010000"/>
                <w:sz w:val="20"/>
              </w:rPr>
              <w:t>Appropriation for funds, dividend payment in 2023</w:t>
            </w:r>
          </w:p>
        </w:tc>
        <w:tc>
          <w:tcPr>
            <w:tcW w:w="1308" w:type="pct"/>
            <w:shd w:val="clear" w:color="auto" w:fill="auto"/>
            <w:tcMar>
              <w:top w:w="0" w:type="dxa"/>
              <w:bottom w:w="0" w:type="dxa"/>
            </w:tcMar>
            <w:vAlign w:val="center"/>
          </w:tcPr>
          <w:p w14:paraId="58BD3C7F" w14:textId="77777777" w:rsidR="00E94F4F" w:rsidRPr="00BC0918" w:rsidRDefault="0060734F" w:rsidP="00BA10C2">
            <w:pPr>
              <w:pBdr>
                <w:top w:val="nil"/>
                <w:left w:val="nil"/>
                <w:bottom w:val="nil"/>
                <w:right w:val="nil"/>
                <w:between w:val="nil"/>
              </w:pBdr>
              <w:spacing w:after="120" w:line="360" w:lineRule="auto"/>
              <w:jc w:val="right"/>
              <w:rPr>
                <w:rFonts w:ascii="Arial" w:eastAsia="Arial" w:hAnsi="Arial" w:cs="Arial"/>
                <w:color w:val="010000"/>
                <w:sz w:val="20"/>
                <w:szCs w:val="20"/>
              </w:rPr>
            </w:pPr>
            <w:r w:rsidRPr="00BC0918">
              <w:rPr>
                <w:rFonts w:ascii="Arial" w:hAnsi="Arial" w:cs="Arial"/>
                <w:color w:val="010000"/>
                <w:sz w:val="20"/>
              </w:rPr>
              <w:t>75,443,112,886</w:t>
            </w:r>
          </w:p>
        </w:tc>
      </w:tr>
      <w:tr w:rsidR="00E94F4F" w:rsidRPr="00BC0918" w14:paraId="0A754BC6" w14:textId="77777777" w:rsidTr="00BA10C2">
        <w:tc>
          <w:tcPr>
            <w:tcW w:w="398" w:type="pct"/>
            <w:shd w:val="clear" w:color="auto" w:fill="auto"/>
            <w:tcMar>
              <w:top w:w="0" w:type="dxa"/>
              <w:bottom w:w="0" w:type="dxa"/>
            </w:tcMar>
            <w:vAlign w:val="center"/>
          </w:tcPr>
          <w:p w14:paraId="5882D0AE" w14:textId="77777777" w:rsidR="00E94F4F" w:rsidRPr="00BC0918" w:rsidRDefault="0060734F" w:rsidP="00BA10C2">
            <w:pPr>
              <w:pBdr>
                <w:top w:val="nil"/>
                <w:left w:val="nil"/>
                <w:bottom w:val="nil"/>
                <w:right w:val="nil"/>
                <w:between w:val="nil"/>
              </w:pBdr>
              <w:spacing w:after="120" w:line="360" w:lineRule="auto"/>
              <w:jc w:val="center"/>
              <w:rPr>
                <w:rFonts w:ascii="Arial" w:eastAsia="Arial" w:hAnsi="Arial" w:cs="Arial"/>
                <w:color w:val="010000"/>
                <w:sz w:val="20"/>
                <w:szCs w:val="20"/>
              </w:rPr>
            </w:pPr>
            <w:r w:rsidRPr="00BC0918">
              <w:rPr>
                <w:rFonts w:ascii="Arial" w:hAnsi="Arial" w:cs="Arial"/>
                <w:color w:val="010000"/>
                <w:sz w:val="20"/>
              </w:rPr>
              <w:t>1</w:t>
            </w:r>
          </w:p>
        </w:tc>
        <w:tc>
          <w:tcPr>
            <w:tcW w:w="3294" w:type="pct"/>
            <w:shd w:val="clear" w:color="auto" w:fill="auto"/>
            <w:tcMar>
              <w:top w:w="0" w:type="dxa"/>
              <w:bottom w:w="0" w:type="dxa"/>
            </w:tcMar>
            <w:vAlign w:val="center"/>
          </w:tcPr>
          <w:p w14:paraId="2D8C7DF3" w14:textId="77777777" w:rsidR="00E94F4F" w:rsidRPr="00BC0918" w:rsidRDefault="0060734F" w:rsidP="00BA10C2">
            <w:pPr>
              <w:pBdr>
                <w:top w:val="nil"/>
                <w:left w:val="nil"/>
                <w:bottom w:val="nil"/>
                <w:right w:val="nil"/>
                <w:between w:val="nil"/>
              </w:pBdr>
              <w:spacing w:after="120" w:line="360" w:lineRule="auto"/>
              <w:rPr>
                <w:rFonts w:ascii="Arial" w:eastAsia="Arial" w:hAnsi="Arial" w:cs="Arial"/>
                <w:color w:val="010000"/>
                <w:sz w:val="20"/>
                <w:szCs w:val="20"/>
              </w:rPr>
            </w:pPr>
            <w:r w:rsidRPr="00BC0918">
              <w:rPr>
                <w:rFonts w:ascii="Arial" w:hAnsi="Arial" w:cs="Arial"/>
                <w:color w:val="010000"/>
                <w:sz w:val="20"/>
              </w:rPr>
              <w:t>Appropriation for development investment fund = 4.7703%*(I)</w:t>
            </w:r>
          </w:p>
        </w:tc>
        <w:tc>
          <w:tcPr>
            <w:tcW w:w="1308" w:type="pct"/>
            <w:shd w:val="clear" w:color="auto" w:fill="auto"/>
            <w:tcMar>
              <w:top w:w="0" w:type="dxa"/>
              <w:bottom w:w="0" w:type="dxa"/>
            </w:tcMar>
            <w:vAlign w:val="center"/>
          </w:tcPr>
          <w:p w14:paraId="01C8ABD9" w14:textId="77777777" w:rsidR="00E94F4F" w:rsidRPr="00BC0918" w:rsidRDefault="0060734F" w:rsidP="00BA10C2">
            <w:pPr>
              <w:pBdr>
                <w:top w:val="nil"/>
                <w:left w:val="nil"/>
                <w:bottom w:val="nil"/>
                <w:right w:val="nil"/>
                <w:between w:val="nil"/>
              </w:pBdr>
              <w:spacing w:after="120" w:line="360" w:lineRule="auto"/>
              <w:jc w:val="right"/>
              <w:rPr>
                <w:rFonts w:ascii="Arial" w:eastAsia="Arial" w:hAnsi="Arial" w:cs="Arial"/>
                <w:color w:val="010000"/>
                <w:sz w:val="20"/>
                <w:szCs w:val="20"/>
              </w:rPr>
            </w:pPr>
            <w:r w:rsidRPr="00BC0918">
              <w:rPr>
                <w:rFonts w:ascii="Arial" w:hAnsi="Arial" w:cs="Arial"/>
                <w:color w:val="010000"/>
                <w:sz w:val="20"/>
              </w:rPr>
              <w:t>3,598,866,114</w:t>
            </w:r>
          </w:p>
        </w:tc>
      </w:tr>
      <w:tr w:rsidR="00E94F4F" w:rsidRPr="00BC0918" w14:paraId="0D86EB9E" w14:textId="77777777" w:rsidTr="00BA10C2">
        <w:tc>
          <w:tcPr>
            <w:tcW w:w="398" w:type="pct"/>
            <w:shd w:val="clear" w:color="auto" w:fill="auto"/>
            <w:tcMar>
              <w:top w:w="0" w:type="dxa"/>
              <w:bottom w:w="0" w:type="dxa"/>
            </w:tcMar>
            <w:vAlign w:val="center"/>
          </w:tcPr>
          <w:p w14:paraId="50E8974A" w14:textId="77777777" w:rsidR="00E94F4F" w:rsidRPr="00BC0918" w:rsidRDefault="0060734F" w:rsidP="00BA10C2">
            <w:pPr>
              <w:pBdr>
                <w:top w:val="nil"/>
                <w:left w:val="nil"/>
                <w:bottom w:val="nil"/>
                <w:right w:val="nil"/>
                <w:between w:val="nil"/>
              </w:pBdr>
              <w:spacing w:after="120" w:line="360" w:lineRule="auto"/>
              <w:jc w:val="center"/>
              <w:rPr>
                <w:rFonts w:ascii="Arial" w:eastAsia="Arial" w:hAnsi="Arial" w:cs="Arial"/>
                <w:color w:val="010000"/>
                <w:sz w:val="20"/>
                <w:szCs w:val="20"/>
              </w:rPr>
            </w:pPr>
            <w:r w:rsidRPr="00BC0918">
              <w:rPr>
                <w:rFonts w:ascii="Arial" w:hAnsi="Arial" w:cs="Arial"/>
                <w:bCs/>
                <w:color w:val="010000"/>
                <w:sz w:val="20"/>
              </w:rPr>
              <w:t>2</w:t>
            </w:r>
          </w:p>
        </w:tc>
        <w:tc>
          <w:tcPr>
            <w:tcW w:w="3294" w:type="pct"/>
            <w:shd w:val="clear" w:color="auto" w:fill="auto"/>
            <w:tcMar>
              <w:top w:w="0" w:type="dxa"/>
              <w:bottom w:w="0" w:type="dxa"/>
            </w:tcMar>
            <w:vAlign w:val="center"/>
          </w:tcPr>
          <w:p w14:paraId="0600D0BD" w14:textId="77777777" w:rsidR="00E94F4F" w:rsidRPr="00BC0918" w:rsidRDefault="0060734F" w:rsidP="00BA10C2">
            <w:pPr>
              <w:pBdr>
                <w:top w:val="nil"/>
                <w:left w:val="nil"/>
                <w:bottom w:val="nil"/>
                <w:right w:val="nil"/>
                <w:between w:val="nil"/>
              </w:pBdr>
              <w:spacing w:after="120" w:line="360" w:lineRule="auto"/>
              <w:rPr>
                <w:rFonts w:ascii="Arial" w:eastAsia="Arial" w:hAnsi="Arial" w:cs="Arial"/>
                <w:color w:val="010000"/>
                <w:sz w:val="20"/>
                <w:szCs w:val="20"/>
              </w:rPr>
            </w:pPr>
            <w:r w:rsidRPr="00BC0918">
              <w:rPr>
                <w:rFonts w:ascii="Arial" w:hAnsi="Arial" w:cs="Arial"/>
                <w:color w:val="010000"/>
                <w:sz w:val="20"/>
              </w:rPr>
              <w:t>Appropriation for bonus and welfare fund = 3.0%*(I)</w:t>
            </w:r>
          </w:p>
        </w:tc>
        <w:tc>
          <w:tcPr>
            <w:tcW w:w="1308" w:type="pct"/>
            <w:shd w:val="clear" w:color="auto" w:fill="auto"/>
            <w:tcMar>
              <w:top w:w="0" w:type="dxa"/>
              <w:bottom w:w="0" w:type="dxa"/>
            </w:tcMar>
            <w:vAlign w:val="center"/>
          </w:tcPr>
          <w:p w14:paraId="68548533" w14:textId="77777777" w:rsidR="00E94F4F" w:rsidRPr="00BC0918" w:rsidRDefault="0060734F" w:rsidP="00BA10C2">
            <w:pPr>
              <w:pBdr>
                <w:top w:val="nil"/>
                <w:left w:val="nil"/>
                <w:bottom w:val="nil"/>
                <w:right w:val="nil"/>
                <w:between w:val="nil"/>
              </w:pBdr>
              <w:spacing w:after="120" w:line="360" w:lineRule="auto"/>
              <w:jc w:val="right"/>
              <w:rPr>
                <w:rFonts w:ascii="Arial" w:eastAsia="Arial" w:hAnsi="Arial" w:cs="Arial"/>
                <w:color w:val="010000"/>
                <w:sz w:val="20"/>
                <w:szCs w:val="20"/>
              </w:rPr>
            </w:pPr>
            <w:r w:rsidRPr="00BC0918">
              <w:rPr>
                <w:rFonts w:ascii="Arial" w:hAnsi="Arial" w:cs="Arial"/>
                <w:color w:val="010000"/>
                <w:sz w:val="20"/>
              </w:rPr>
              <w:t>2,263,293,386</w:t>
            </w:r>
          </w:p>
        </w:tc>
      </w:tr>
      <w:tr w:rsidR="00E94F4F" w:rsidRPr="00BC0918" w14:paraId="166F96A1" w14:textId="77777777" w:rsidTr="00BA10C2">
        <w:tc>
          <w:tcPr>
            <w:tcW w:w="398" w:type="pct"/>
            <w:shd w:val="clear" w:color="auto" w:fill="auto"/>
            <w:tcMar>
              <w:top w:w="0" w:type="dxa"/>
              <w:bottom w:w="0" w:type="dxa"/>
            </w:tcMar>
            <w:vAlign w:val="center"/>
          </w:tcPr>
          <w:p w14:paraId="0C09CA11" w14:textId="77777777" w:rsidR="00E94F4F" w:rsidRPr="00BC0918" w:rsidRDefault="0060734F" w:rsidP="00BA10C2">
            <w:pPr>
              <w:pBdr>
                <w:top w:val="nil"/>
                <w:left w:val="nil"/>
                <w:bottom w:val="nil"/>
                <w:right w:val="nil"/>
                <w:between w:val="nil"/>
              </w:pBdr>
              <w:spacing w:after="120" w:line="360" w:lineRule="auto"/>
              <w:jc w:val="center"/>
              <w:rPr>
                <w:rFonts w:ascii="Arial" w:eastAsia="Arial" w:hAnsi="Arial" w:cs="Arial"/>
                <w:color w:val="010000"/>
                <w:sz w:val="20"/>
                <w:szCs w:val="20"/>
              </w:rPr>
            </w:pPr>
            <w:r w:rsidRPr="00BC0918">
              <w:rPr>
                <w:rFonts w:ascii="Arial" w:hAnsi="Arial" w:cs="Arial"/>
                <w:color w:val="010000"/>
                <w:sz w:val="20"/>
              </w:rPr>
              <w:t>3</w:t>
            </w:r>
          </w:p>
        </w:tc>
        <w:tc>
          <w:tcPr>
            <w:tcW w:w="3294" w:type="pct"/>
            <w:shd w:val="clear" w:color="auto" w:fill="auto"/>
            <w:tcMar>
              <w:top w:w="0" w:type="dxa"/>
              <w:bottom w:w="0" w:type="dxa"/>
            </w:tcMar>
            <w:vAlign w:val="center"/>
          </w:tcPr>
          <w:p w14:paraId="6E99B475" w14:textId="65275DDE" w:rsidR="00E94F4F" w:rsidRPr="00BC0918" w:rsidRDefault="0060734F" w:rsidP="00BA10C2">
            <w:pPr>
              <w:pBdr>
                <w:top w:val="nil"/>
                <w:left w:val="nil"/>
                <w:bottom w:val="nil"/>
                <w:right w:val="nil"/>
                <w:between w:val="nil"/>
              </w:pBdr>
              <w:spacing w:after="120" w:line="360" w:lineRule="auto"/>
              <w:rPr>
                <w:rFonts w:ascii="Arial" w:eastAsia="Arial" w:hAnsi="Arial" w:cs="Arial"/>
                <w:color w:val="010000"/>
                <w:sz w:val="20"/>
                <w:szCs w:val="20"/>
              </w:rPr>
            </w:pPr>
            <w:r w:rsidRPr="00BC0918">
              <w:rPr>
                <w:rFonts w:ascii="Arial" w:hAnsi="Arial" w:cs="Arial"/>
                <w:color w:val="010000"/>
                <w:sz w:val="20"/>
              </w:rPr>
              <w:t xml:space="preserve">Bonus fund for the Executive Board, the Board of Directors, </w:t>
            </w:r>
            <w:r w:rsidR="00655F61" w:rsidRPr="00BC0918">
              <w:rPr>
                <w:rFonts w:ascii="Arial" w:hAnsi="Arial" w:cs="Arial"/>
                <w:color w:val="010000"/>
                <w:sz w:val="20"/>
              </w:rPr>
              <w:t xml:space="preserve">and </w:t>
            </w:r>
            <w:r w:rsidRPr="00BC0918">
              <w:rPr>
                <w:rFonts w:ascii="Arial" w:hAnsi="Arial" w:cs="Arial"/>
                <w:color w:val="010000"/>
                <w:sz w:val="20"/>
              </w:rPr>
              <w:t>the Supervisory Board = 3.0%*(I)</w:t>
            </w:r>
          </w:p>
        </w:tc>
        <w:tc>
          <w:tcPr>
            <w:tcW w:w="1308" w:type="pct"/>
            <w:shd w:val="clear" w:color="auto" w:fill="auto"/>
            <w:tcMar>
              <w:top w:w="0" w:type="dxa"/>
              <w:bottom w:w="0" w:type="dxa"/>
            </w:tcMar>
            <w:vAlign w:val="center"/>
          </w:tcPr>
          <w:p w14:paraId="19ACD4E2" w14:textId="77777777" w:rsidR="00E94F4F" w:rsidRPr="00BC0918" w:rsidRDefault="0060734F" w:rsidP="00BA10C2">
            <w:pPr>
              <w:pBdr>
                <w:top w:val="nil"/>
                <w:left w:val="nil"/>
                <w:bottom w:val="nil"/>
                <w:right w:val="nil"/>
                <w:between w:val="nil"/>
              </w:pBdr>
              <w:spacing w:after="120" w:line="360" w:lineRule="auto"/>
              <w:jc w:val="right"/>
              <w:rPr>
                <w:rFonts w:ascii="Arial" w:eastAsia="Arial" w:hAnsi="Arial" w:cs="Arial"/>
                <w:color w:val="010000"/>
                <w:sz w:val="20"/>
                <w:szCs w:val="20"/>
              </w:rPr>
            </w:pPr>
            <w:r w:rsidRPr="00BC0918">
              <w:rPr>
                <w:rFonts w:ascii="Arial" w:hAnsi="Arial" w:cs="Arial"/>
                <w:color w:val="010000"/>
                <w:sz w:val="20"/>
              </w:rPr>
              <w:t>2,263,293,386</w:t>
            </w:r>
          </w:p>
        </w:tc>
      </w:tr>
      <w:tr w:rsidR="00E94F4F" w:rsidRPr="00BC0918" w14:paraId="0FE7BFB2" w14:textId="77777777" w:rsidTr="00BA10C2">
        <w:tc>
          <w:tcPr>
            <w:tcW w:w="398" w:type="pct"/>
            <w:shd w:val="clear" w:color="auto" w:fill="auto"/>
            <w:tcMar>
              <w:top w:w="0" w:type="dxa"/>
              <w:bottom w:w="0" w:type="dxa"/>
            </w:tcMar>
            <w:vAlign w:val="center"/>
          </w:tcPr>
          <w:p w14:paraId="51F25EA0" w14:textId="77777777" w:rsidR="00E94F4F" w:rsidRPr="00BC0918" w:rsidRDefault="0060734F" w:rsidP="00BA10C2">
            <w:pPr>
              <w:pBdr>
                <w:top w:val="nil"/>
                <w:left w:val="nil"/>
                <w:bottom w:val="nil"/>
                <w:right w:val="nil"/>
                <w:between w:val="nil"/>
              </w:pBdr>
              <w:spacing w:after="120" w:line="360" w:lineRule="auto"/>
              <w:jc w:val="center"/>
              <w:rPr>
                <w:rFonts w:ascii="Arial" w:eastAsia="Arial" w:hAnsi="Arial" w:cs="Arial"/>
                <w:color w:val="010000"/>
                <w:sz w:val="20"/>
                <w:szCs w:val="20"/>
              </w:rPr>
            </w:pPr>
            <w:r w:rsidRPr="00BC0918">
              <w:rPr>
                <w:rFonts w:ascii="Arial" w:hAnsi="Arial" w:cs="Arial"/>
                <w:color w:val="010000"/>
                <w:sz w:val="20"/>
              </w:rPr>
              <w:t>4</w:t>
            </w:r>
          </w:p>
        </w:tc>
        <w:tc>
          <w:tcPr>
            <w:tcW w:w="3294" w:type="pct"/>
            <w:shd w:val="clear" w:color="auto" w:fill="auto"/>
            <w:tcMar>
              <w:top w:w="0" w:type="dxa"/>
              <w:bottom w:w="0" w:type="dxa"/>
            </w:tcMar>
            <w:vAlign w:val="center"/>
          </w:tcPr>
          <w:p w14:paraId="5A250C8C" w14:textId="310EED99" w:rsidR="00E94F4F" w:rsidRPr="00BC0918" w:rsidRDefault="0060734F" w:rsidP="00BA10C2">
            <w:pPr>
              <w:pBdr>
                <w:top w:val="nil"/>
                <w:left w:val="nil"/>
                <w:bottom w:val="nil"/>
                <w:right w:val="nil"/>
                <w:between w:val="nil"/>
              </w:pBdr>
              <w:spacing w:after="120" w:line="360" w:lineRule="auto"/>
              <w:rPr>
                <w:rFonts w:ascii="Arial" w:eastAsia="Arial" w:hAnsi="Arial" w:cs="Arial"/>
                <w:color w:val="010000"/>
                <w:sz w:val="20"/>
                <w:szCs w:val="20"/>
              </w:rPr>
            </w:pPr>
            <w:r w:rsidRPr="00BC0918">
              <w:rPr>
                <w:rFonts w:ascii="Arial" w:hAnsi="Arial" w:cs="Arial"/>
                <w:color w:val="010000"/>
                <w:sz w:val="20"/>
              </w:rPr>
              <w:t>Dividend payment of 9</w:t>
            </w:r>
            <w:r w:rsidR="00655F61" w:rsidRPr="00BC0918">
              <w:rPr>
                <w:rFonts w:ascii="Arial" w:hAnsi="Arial" w:cs="Arial"/>
                <w:color w:val="010000"/>
                <w:sz w:val="20"/>
              </w:rPr>
              <w:t>%/</w:t>
            </w:r>
            <w:r w:rsidRPr="00BC0918">
              <w:rPr>
                <w:rFonts w:ascii="Arial" w:hAnsi="Arial" w:cs="Arial"/>
                <w:color w:val="010000"/>
                <w:sz w:val="20"/>
              </w:rPr>
              <w:t>outstanding shares (74,797,400 outstanding shares)</w:t>
            </w:r>
          </w:p>
        </w:tc>
        <w:tc>
          <w:tcPr>
            <w:tcW w:w="1308" w:type="pct"/>
            <w:shd w:val="clear" w:color="auto" w:fill="auto"/>
            <w:tcMar>
              <w:top w:w="0" w:type="dxa"/>
              <w:bottom w:w="0" w:type="dxa"/>
            </w:tcMar>
            <w:vAlign w:val="center"/>
          </w:tcPr>
          <w:p w14:paraId="5A5F2A54" w14:textId="77777777" w:rsidR="00E94F4F" w:rsidRPr="00BC0918" w:rsidRDefault="0060734F" w:rsidP="00BA10C2">
            <w:pPr>
              <w:pBdr>
                <w:top w:val="nil"/>
                <w:left w:val="nil"/>
                <w:bottom w:val="nil"/>
                <w:right w:val="nil"/>
                <w:between w:val="nil"/>
              </w:pBdr>
              <w:spacing w:after="120" w:line="360" w:lineRule="auto"/>
              <w:jc w:val="right"/>
              <w:rPr>
                <w:rFonts w:ascii="Arial" w:eastAsia="Arial" w:hAnsi="Arial" w:cs="Arial"/>
                <w:color w:val="010000"/>
                <w:sz w:val="20"/>
                <w:szCs w:val="20"/>
              </w:rPr>
            </w:pPr>
            <w:r w:rsidRPr="00BC0918">
              <w:rPr>
                <w:rFonts w:ascii="Arial" w:hAnsi="Arial" w:cs="Arial"/>
                <w:color w:val="010000"/>
                <w:sz w:val="20"/>
              </w:rPr>
              <w:t>67,317,660,000</w:t>
            </w:r>
          </w:p>
        </w:tc>
      </w:tr>
      <w:tr w:rsidR="00E94F4F" w:rsidRPr="00BC0918" w14:paraId="71F547AB" w14:textId="77777777" w:rsidTr="00BA10C2">
        <w:tc>
          <w:tcPr>
            <w:tcW w:w="398" w:type="pct"/>
            <w:shd w:val="clear" w:color="auto" w:fill="auto"/>
            <w:tcMar>
              <w:top w:w="0" w:type="dxa"/>
              <w:bottom w:w="0" w:type="dxa"/>
            </w:tcMar>
            <w:vAlign w:val="center"/>
          </w:tcPr>
          <w:p w14:paraId="48B1C7B6" w14:textId="77777777" w:rsidR="00E94F4F" w:rsidRPr="00BC0918" w:rsidRDefault="0060734F" w:rsidP="00BA10C2">
            <w:pPr>
              <w:pBdr>
                <w:top w:val="nil"/>
                <w:left w:val="nil"/>
                <w:bottom w:val="nil"/>
                <w:right w:val="nil"/>
                <w:between w:val="nil"/>
              </w:pBdr>
              <w:spacing w:after="120" w:line="360" w:lineRule="auto"/>
              <w:jc w:val="center"/>
              <w:rPr>
                <w:rFonts w:ascii="Arial" w:eastAsia="Arial" w:hAnsi="Arial" w:cs="Arial"/>
                <w:color w:val="010000"/>
                <w:sz w:val="20"/>
                <w:szCs w:val="20"/>
              </w:rPr>
            </w:pPr>
            <w:r w:rsidRPr="00BC0918">
              <w:rPr>
                <w:rFonts w:ascii="Arial" w:hAnsi="Arial" w:cs="Arial"/>
                <w:color w:val="010000"/>
                <w:sz w:val="20"/>
              </w:rPr>
              <w:t>III</w:t>
            </w:r>
          </w:p>
        </w:tc>
        <w:tc>
          <w:tcPr>
            <w:tcW w:w="3294" w:type="pct"/>
            <w:shd w:val="clear" w:color="auto" w:fill="auto"/>
            <w:tcMar>
              <w:top w:w="0" w:type="dxa"/>
              <w:bottom w:w="0" w:type="dxa"/>
            </w:tcMar>
            <w:vAlign w:val="center"/>
          </w:tcPr>
          <w:p w14:paraId="674765DC" w14:textId="77777777" w:rsidR="00E94F4F" w:rsidRPr="00BC0918" w:rsidRDefault="0060734F" w:rsidP="00BA10C2">
            <w:pPr>
              <w:pBdr>
                <w:top w:val="nil"/>
                <w:left w:val="nil"/>
                <w:bottom w:val="nil"/>
                <w:right w:val="nil"/>
                <w:between w:val="nil"/>
              </w:pBdr>
              <w:tabs>
                <w:tab w:val="left" w:pos="5030"/>
                <w:tab w:val="left" w:pos="5582"/>
              </w:tabs>
              <w:spacing w:after="120" w:line="360" w:lineRule="auto"/>
              <w:rPr>
                <w:rFonts w:ascii="Arial" w:eastAsia="Arial" w:hAnsi="Arial" w:cs="Arial"/>
                <w:color w:val="010000"/>
                <w:sz w:val="20"/>
                <w:szCs w:val="20"/>
              </w:rPr>
            </w:pPr>
            <w:r w:rsidRPr="00BC0918">
              <w:rPr>
                <w:rFonts w:ascii="Arial" w:hAnsi="Arial" w:cs="Arial"/>
                <w:color w:val="010000"/>
                <w:sz w:val="20"/>
              </w:rPr>
              <w:t xml:space="preserve">Remaining profit after tax in 2023 (III = I-II) </w:t>
            </w:r>
          </w:p>
        </w:tc>
        <w:tc>
          <w:tcPr>
            <w:tcW w:w="1308" w:type="pct"/>
            <w:shd w:val="clear" w:color="auto" w:fill="auto"/>
            <w:tcMar>
              <w:top w:w="0" w:type="dxa"/>
              <w:bottom w:w="0" w:type="dxa"/>
            </w:tcMar>
            <w:vAlign w:val="center"/>
          </w:tcPr>
          <w:p w14:paraId="391B9378" w14:textId="77777777" w:rsidR="00E94F4F" w:rsidRPr="00BC0918" w:rsidRDefault="0060734F" w:rsidP="00BA10C2">
            <w:pPr>
              <w:pBdr>
                <w:top w:val="nil"/>
                <w:left w:val="nil"/>
                <w:bottom w:val="nil"/>
                <w:right w:val="nil"/>
                <w:between w:val="nil"/>
              </w:pBdr>
              <w:spacing w:after="120" w:line="360" w:lineRule="auto"/>
              <w:jc w:val="right"/>
              <w:rPr>
                <w:rFonts w:ascii="Arial" w:eastAsia="Arial" w:hAnsi="Arial" w:cs="Arial"/>
                <w:color w:val="010000"/>
                <w:sz w:val="20"/>
                <w:szCs w:val="20"/>
              </w:rPr>
            </w:pPr>
            <w:r w:rsidRPr="00BC0918">
              <w:rPr>
                <w:rFonts w:ascii="Arial" w:hAnsi="Arial" w:cs="Arial"/>
                <w:color w:val="010000"/>
                <w:sz w:val="20"/>
              </w:rPr>
              <w:t>0</w:t>
            </w:r>
          </w:p>
        </w:tc>
      </w:tr>
    </w:tbl>
    <w:p w14:paraId="69CB6C98" w14:textId="4F10728E" w:rsidR="00E94F4F" w:rsidRPr="00BC0918" w:rsidRDefault="0060734F" w:rsidP="00D130DF">
      <w:pPr>
        <w:pStyle w:val="ListParagraph"/>
        <w:numPr>
          <w:ilvl w:val="0"/>
          <w:numId w:val="5"/>
        </w:numPr>
        <w:pBdr>
          <w:top w:val="nil"/>
          <w:left w:val="nil"/>
          <w:bottom w:val="nil"/>
          <w:right w:val="nil"/>
          <w:between w:val="nil"/>
        </w:pBdr>
        <w:spacing w:after="120" w:line="360" w:lineRule="auto"/>
        <w:contextualSpacing w:val="0"/>
        <w:jc w:val="both"/>
        <w:rPr>
          <w:rFonts w:ascii="Arial" w:eastAsia="Arial" w:hAnsi="Arial" w:cs="Arial"/>
          <w:color w:val="010000"/>
          <w:sz w:val="20"/>
          <w:szCs w:val="20"/>
        </w:rPr>
      </w:pPr>
      <w:r w:rsidRPr="00BC0918">
        <w:rPr>
          <w:rFonts w:ascii="Arial" w:hAnsi="Arial" w:cs="Arial"/>
          <w:color w:val="010000"/>
          <w:sz w:val="20"/>
        </w:rPr>
        <w:t>General Mandate 6: The General Meeting of Sharehold</w:t>
      </w:r>
      <w:r w:rsidR="00655F61" w:rsidRPr="00BC0918">
        <w:rPr>
          <w:rFonts w:ascii="Arial" w:hAnsi="Arial" w:cs="Arial"/>
          <w:color w:val="010000"/>
          <w:sz w:val="20"/>
        </w:rPr>
        <w:t>ers approves the remuneration for members of</w:t>
      </w:r>
      <w:r w:rsidRPr="00BC0918">
        <w:rPr>
          <w:rFonts w:ascii="Arial" w:hAnsi="Arial" w:cs="Arial"/>
          <w:color w:val="010000"/>
          <w:sz w:val="20"/>
        </w:rPr>
        <w:t xml:space="preserve"> the Board of Directors and the Supervisory Board in 2023 and estimated remuneration for members of the Board of Directors and the Supervisory Board in 2024, specifically:</w:t>
      </w:r>
    </w:p>
    <w:p w14:paraId="3C11FEA0" w14:textId="69039E31" w:rsidR="00E94F4F" w:rsidRPr="00BC0918" w:rsidRDefault="0060734F" w:rsidP="00D130DF">
      <w:pPr>
        <w:numPr>
          <w:ilvl w:val="0"/>
          <w:numId w:val="6"/>
        </w:numPr>
        <w:pBdr>
          <w:top w:val="nil"/>
          <w:left w:val="nil"/>
          <w:bottom w:val="nil"/>
          <w:right w:val="nil"/>
          <w:between w:val="nil"/>
        </w:pBdr>
        <w:tabs>
          <w:tab w:val="left" w:pos="464"/>
        </w:tabs>
        <w:spacing w:after="120" w:line="360" w:lineRule="auto"/>
        <w:jc w:val="both"/>
        <w:rPr>
          <w:rFonts w:ascii="Arial" w:eastAsia="Arial" w:hAnsi="Arial" w:cs="Arial"/>
          <w:color w:val="010000"/>
          <w:sz w:val="20"/>
          <w:szCs w:val="20"/>
        </w:rPr>
      </w:pPr>
      <w:bookmarkStart w:id="0" w:name="_heading=h.gjdgxs"/>
      <w:bookmarkEnd w:id="0"/>
      <w:r w:rsidRPr="00BC0918">
        <w:rPr>
          <w:rFonts w:ascii="Arial" w:hAnsi="Arial" w:cs="Arial"/>
          <w:color w:val="010000"/>
          <w:sz w:val="20"/>
        </w:rPr>
        <w:lastRenderedPageBreak/>
        <w:t>Remuneration for members of the Board of Directors and the Supervisory Board of the Company in 2023 (including personal income tax and 01 month's remuneration on the occasion of Lunar New Year 2024</w:t>
      </w:r>
      <w:r w:rsidR="00655F61" w:rsidRPr="00BC0918">
        <w:rPr>
          <w:rFonts w:ascii="Arial" w:hAnsi="Arial" w:cs="Arial"/>
          <w:color w:val="010000"/>
          <w:sz w:val="20"/>
        </w:rPr>
        <w:t>):</w:t>
      </w:r>
      <w:r w:rsidRPr="00BC0918">
        <w:rPr>
          <w:rFonts w:ascii="Arial" w:hAnsi="Arial" w:cs="Arial"/>
          <w:color w:val="010000"/>
          <w:sz w:val="20"/>
        </w:rPr>
        <w:t>:</w:t>
      </w:r>
    </w:p>
    <w:p w14:paraId="19622030" w14:textId="77777777" w:rsidR="00E94F4F" w:rsidRPr="00BC0918" w:rsidRDefault="0060734F" w:rsidP="00D130D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C0918">
        <w:rPr>
          <w:rFonts w:ascii="Arial" w:hAnsi="Arial" w:cs="Arial"/>
          <w:color w:val="010000"/>
          <w:sz w:val="20"/>
        </w:rPr>
        <w:t>Total remuneration of the Board of Directors in 2023: VND 741,000,000</w:t>
      </w:r>
    </w:p>
    <w:p w14:paraId="64797FAB" w14:textId="77777777" w:rsidR="00E94F4F" w:rsidRPr="00BC0918" w:rsidRDefault="0060734F" w:rsidP="00D130D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C0918">
        <w:rPr>
          <w:rFonts w:ascii="Arial" w:hAnsi="Arial" w:cs="Arial"/>
          <w:color w:val="010000"/>
          <w:sz w:val="20"/>
        </w:rPr>
        <w:t>Total remuneration of the Supervisory Board in 2023: VND 507,000,000</w:t>
      </w:r>
    </w:p>
    <w:p w14:paraId="24239FBC" w14:textId="77777777" w:rsidR="00E94F4F" w:rsidRPr="00BC0918" w:rsidRDefault="0060734F" w:rsidP="00D130DF">
      <w:pPr>
        <w:pBdr>
          <w:top w:val="nil"/>
          <w:left w:val="nil"/>
          <w:bottom w:val="nil"/>
          <w:right w:val="nil"/>
          <w:between w:val="nil"/>
        </w:pBdr>
        <w:tabs>
          <w:tab w:val="right" w:pos="4822"/>
          <w:tab w:val="right" w:pos="7209"/>
        </w:tabs>
        <w:spacing w:after="120" w:line="360" w:lineRule="auto"/>
        <w:jc w:val="both"/>
        <w:rPr>
          <w:rFonts w:ascii="Arial" w:eastAsia="Arial" w:hAnsi="Arial" w:cs="Arial"/>
          <w:color w:val="010000"/>
          <w:sz w:val="20"/>
          <w:szCs w:val="20"/>
        </w:rPr>
      </w:pPr>
      <w:r w:rsidRPr="00BC0918">
        <w:rPr>
          <w:rFonts w:ascii="Arial" w:hAnsi="Arial" w:cs="Arial"/>
          <w:color w:val="010000"/>
          <w:sz w:val="20"/>
        </w:rPr>
        <w:t>Total: VND 1,248,000,000</w:t>
      </w:r>
    </w:p>
    <w:p w14:paraId="05B3B642" w14:textId="3F54DB87" w:rsidR="00E94F4F" w:rsidRPr="00BC0918" w:rsidRDefault="0060734F" w:rsidP="00D130DF">
      <w:pPr>
        <w:pBdr>
          <w:top w:val="nil"/>
          <w:left w:val="nil"/>
          <w:bottom w:val="nil"/>
          <w:right w:val="nil"/>
          <w:between w:val="nil"/>
        </w:pBdr>
        <w:spacing w:after="120" w:line="360" w:lineRule="auto"/>
        <w:jc w:val="both"/>
        <w:rPr>
          <w:rFonts w:ascii="Arial" w:eastAsia="Arial" w:hAnsi="Arial" w:cs="Arial"/>
          <w:color w:val="010000"/>
          <w:sz w:val="20"/>
          <w:szCs w:val="20"/>
        </w:rPr>
      </w:pPr>
      <w:r w:rsidRPr="00BC0918">
        <w:rPr>
          <w:rFonts w:ascii="Arial" w:hAnsi="Arial" w:cs="Arial"/>
          <w:color w:val="010000"/>
          <w:sz w:val="20"/>
        </w:rPr>
        <w:t xml:space="preserve">This does not include insurance </w:t>
      </w:r>
      <w:r w:rsidR="00655F61" w:rsidRPr="00BC0918">
        <w:rPr>
          <w:rFonts w:ascii="Arial" w:hAnsi="Arial" w:cs="Arial"/>
          <w:color w:val="010000"/>
          <w:sz w:val="20"/>
        </w:rPr>
        <w:t>expenses</w:t>
      </w:r>
      <w:r w:rsidRPr="00BC0918">
        <w:rPr>
          <w:rFonts w:ascii="Arial" w:hAnsi="Arial" w:cs="Arial"/>
          <w:color w:val="010000"/>
          <w:sz w:val="20"/>
        </w:rPr>
        <w:t xml:space="preserve">, union </w:t>
      </w:r>
      <w:r w:rsidR="00655F61" w:rsidRPr="00BC0918">
        <w:rPr>
          <w:rFonts w:ascii="Arial" w:hAnsi="Arial" w:cs="Arial"/>
          <w:color w:val="010000"/>
          <w:sz w:val="20"/>
        </w:rPr>
        <w:t>expenses</w:t>
      </w:r>
      <w:r w:rsidRPr="00BC0918">
        <w:rPr>
          <w:rFonts w:ascii="Arial" w:hAnsi="Arial" w:cs="Arial"/>
          <w:color w:val="010000"/>
          <w:sz w:val="20"/>
        </w:rPr>
        <w:t xml:space="preserve"> and welfare funds enjoyed by the Executive Chief of the Supervisory Board: VND 81,780,000 (Insurance and union </w:t>
      </w:r>
      <w:r w:rsidR="00655F61" w:rsidRPr="00BC0918">
        <w:rPr>
          <w:rFonts w:ascii="Arial" w:hAnsi="Arial" w:cs="Arial"/>
          <w:color w:val="010000"/>
          <w:sz w:val="20"/>
        </w:rPr>
        <w:t>expenses</w:t>
      </w:r>
      <w:r w:rsidRPr="00BC0918">
        <w:rPr>
          <w:rFonts w:ascii="Arial" w:hAnsi="Arial" w:cs="Arial"/>
          <w:color w:val="010000"/>
          <w:sz w:val="20"/>
        </w:rPr>
        <w:t>) + VND 23,000,000 (welfare fund).</w:t>
      </w:r>
    </w:p>
    <w:p w14:paraId="5A63B5FA" w14:textId="351E2A10" w:rsidR="00E94F4F" w:rsidRPr="00BC0918" w:rsidRDefault="0060734F" w:rsidP="00D130DF">
      <w:pPr>
        <w:numPr>
          <w:ilvl w:val="0"/>
          <w:numId w:val="6"/>
        </w:numPr>
        <w:pBdr>
          <w:top w:val="nil"/>
          <w:left w:val="nil"/>
          <w:bottom w:val="nil"/>
          <w:right w:val="nil"/>
          <w:between w:val="nil"/>
        </w:pBdr>
        <w:tabs>
          <w:tab w:val="left" w:pos="469"/>
        </w:tabs>
        <w:spacing w:after="120" w:line="360" w:lineRule="auto"/>
        <w:jc w:val="both"/>
        <w:rPr>
          <w:rFonts w:ascii="Arial" w:eastAsia="Arial" w:hAnsi="Arial" w:cs="Arial"/>
          <w:color w:val="010000"/>
          <w:sz w:val="20"/>
          <w:szCs w:val="20"/>
        </w:rPr>
      </w:pPr>
      <w:r w:rsidRPr="00BC0918">
        <w:rPr>
          <w:rFonts w:ascii="Arial" w:hAnsi="Arial" w:cs="Arial"/>
          <w:color w:val="010000"/>
          <w:sz w:val="20"/>
        </w:rPr>
        <w:t>Salary/remuneration plan for members of the Board of Directors and the Supervisory Board of the Company in 2024 (including personal income tax and 01 month's remuneration on the occasion of Lunar New Year 2025</w:t>
      </w:r>
      <w:r w:rsidR="00655F61" w:rsidRPr="00BC0918">
        <w:rPr>
          <w:rFonts w:ascii="Arial" w:hAnsi="Arial" w:cs="Arial"/>
          <w:color w:val="010000"/>
          <w:sz w:val="20"/>
        </w:rPr>
        <w:t xml:space="preserve">) </w:t>
      </w:r>
      <w:r w:rsidRPr="00BC0918">
        <w:rPr>
          <w:rFonts w:ascii="Arial" w:hAnsi="Arial" w:cs="Arial"/>
          <w:color w:val="010000"/>
          <w:sz w:val="20"/>
        </w:rPr>
        <w:t>as follows:</w:t>
      </w:r>
    </w:p>
    <w:p w14:paraId="3E4913E8" w14:textId="77777777" w:rsidR="00E94F4F" w:rsidRPr="00BC0918" w:rsidRDefault="0060734F" w:rsidP="00D130DF">
      <w:pPr>
        <w:numPr>
          <w:ilvl w:val="0"/>
          <w:numId w:val="1"/>
        </w:numPr>
        <w:pBdr>
          <w:top w:val="nil"/>
          <w:left w:val="nil"/>
          <w:bottom w:val="nil"/>
          <w:right w:val="nil"/>
          <w:between w:val="nil"/>
        </w:pBdr>
        <w:tabs>
          <w:tab w:val="left" w:pos="729"/>
        </w:tabs>
        <w:spacing w:after="120" w:line="360" w:lineRule="auto"/>
        <w:jc w:val="both"/>
        <w:rPr>
          <w:rFonts w:ascii="Arial" w:eastAsia="Arial" w:hAnsi="Arial" w:cs="Arial"/>
          <w:color w:val="010000"/>
          <w:sz w:val="20"/>
          <w:szCs w:val="20"/>
        </w:rPr>
      </w:pPr>
      <w:r w:rsidRPr="00BC0918">
        <w:rPr>
          <w:rFonts w:ascii="Arial" w:hAnsi="Arial" w:cs="Arial"/>
          <w:color w:val="010000"/>
          <w:sz w:val="20"/>
        </w:rPr>
        <w:t>The Board of Directors (05 members):</w:t>
      </w:r>
    </w:p>
    <w:p w14:paraId="148D8E31" w14:textId="77777777" w:rsidR="00E94F4F" w:rsidRPr="00BC0918" w:rsidRDefault="0060734F" w:rsidP="00D130D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C0918">
        <w:rPr>
          <w:rFonts w:ascii="Arial" w:hAnsi="Arial" w:cs="Arial"/>
          <w:color w:val="010000"/>
          <w:sz w:val="20"/>
        </w:rPr>
        <w:t>Chair of the Board of Directors: VND 15,000,000/month</w:t>
      </w:r>
    </w:p>
    <w:p w14:paraId="1594984A" w14:textId="77777777" w:rsidR="00E94F4F" w:rsidRPr="00BC0918" w:rsidRDefault="0060734F" w:rsidP="00D130D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C0918">
        <w:rPr>
          <w:rFonts w:ascii="Arial" w:hAnsi="Arial" w:cs="Arial"/>
          <w:color w:val="010000"/>
          <w:sz w:val="20"/>
        </w:rPr>
        <w:t>Vice Chair of the Board of Directors: VND 12,000,000/month</w:t>
      </w:r>
    </w:p>
    <w:p w14:paraId="00A301FD" w14:textId="34BDC4BB" w:rsidR="00E94F4F" w:rsidRPr="00BC0918" w:rsidRDefault="00655F61" w:rsidP="00D130D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C0918">
        <w:rPr>
          <w:rFonts w:ascii="Arial" w:hAnsi="Arial" w:cs="Arial"/>
          <w:color w:val="010000"/>
          <w:sz w:val="20"/>
        </w:rPr>
        <w:t>Member</w:t>
      </w:r>
      <w:r w:rsidR="0060734F" w:rsidRPr="00BC0918">
        <w:rPr>
          <w:rFonts w:ascii="Arial" w:hAnsi="Arial" w:cs="Arial"/>
          <w:color w:val="010000"/>
          <w:sz w:val="20"/>
        </w:rPr>
        <w:t xml:space="preserve"> of the Board of Directors: VND 10,000,000/person/month;</w:t>
      </w:r>
    </w:p>
    <w:p w14:paraId="088FF5BE" w14:textId="77777777" w:rsidR="00E94F4F" w:rsidRPr="00BC0918" w:rsidRDefault="0060734F" w:rsidP="00D130DF">
      <w:pPr>
        <w:numPr>
          <w:ilvl w:val="0"/>
          <w:numId w:val="1"/>
        </w:numPr>
        <w:pBdr>
          <w:top w:val="nil"/>
          <w:left w:val="nil"/>
          <w:bottom w:val="nil"/>
          <w:right w:val="nil"/>
          <w:between w:val="nil"/>
        </w:pBdr>
        <w:tabs>
          <w:tab w:val="left" w:pos="729"/>
        </w:tabs>
        <w:spacing w:after="120" w:line="360" w:lineRule="auto"/>
        <w:jc w:val="both"/>
        <w:rPr>
          <w:rFonts w:ascii="Arial" w:eastAsia="Arial" w:hAnsi="Arial" w:cs="Arial"/>
          <w:color w:val="010000"/>
          <w:sz w:val="20"/>
          <w:szCs w:val="20"/>
        </w:rPr>
      </w:pPr>
      <w:r w:rsidRPr="00BC0918">
        <w:rPr>
          <w:rFonts w:ascii="Arial" w:hAnsi="Arial" w:cs="Arial"/>
          <w:color w:val="010000"/>
          <w:sz w:val="20"/>
        </w:rPr>
        <w:t>The Supervisory Board (03 members):</w:t>
      </w:r>
    </w:p>
    <w:p w14:paraId="15D341A9" w14:textId="77777777" w:rsidR="00E94F4F" w:rsidRPr="00BC0918" w:rsidRDefault="0060734F" w:rsidP="00D130D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C0918">
        <w:rPr>
          <w:rFonts w:ascii="Arial" w:hAnsi="Arial" w:cs="Arial"/>
          <w:color w:val="010000"/>
          <w:sz w:val="20"/>
        </w:rPr>
        <w:t>Executive Chief of the Supervisory Board VND 29,000,000/month</w:t>
      </w:r>
    </w:p>
    <w:p w14:paraId="648AA1E2" w14:textId="1994017C" w:rsidR="00E94F4F" w:rsidRPr="00BC0918" w:rsidRDefault="0060734F" w:rsidP="00D130DF">
      <w:pPr>
        <w:pBdr>
          <w:top w:val="nil"/>
          <w:left w:val="nil"/>
          <w:bottom w:val="nil"/>
          <w:right w:val="nil"/>
          <w:between w:val="nil"/>
        </w:pBdr>
        <w:spacing w:after="120" w:line="360" w:lineRule="auto"/>
        <w:jc w:val="both"/>
        <w:rPr>
          <w:rFonts w:ascii="Arial" w:eastAsia="Arial" w:hAnsi="Arial" w:cs="Arial"/>
          <w:color w:val="010000"/>
          <w:sz w:val="20"/>
          <w:szCs w:val="20"/>
        </w:rPr>
      </w:pPr>
      <w:r w:rsidRPr="00BC0918">
        <w:rPr>
          <w:rFonts w:ascii="Arial" w:hAnsi="Arial" w:cs="Arial"/>
          <w:color w:val="010000"/>
          <w:sz w:val="20"/>
        </w:rPr>
        <w:t xml:space="preserve">And </w:t>
      </w:r>
      <w:r w:rsidR="00655F61" w:rsidRPr="00BC0918">
        <w:rPr>
          <w:rFonts w:ascii="Arial" w:hAnsi="Arial" w:cs="Arial"/>
          <w:color w:val="010000"/>
          <w:sz w:val="20"/>
        </w:rPr>
        <w:t xml:space="preserve">they </w:t>
      </w:r>
      <w:r w:rsidRPr="00BC0918">
        <w:rPr>
          <w:rFonts w:ascii="Arial" w:hAnsi="Arial" w:cs="Arial"/>
          <w:color w:val="010000"/>
          <w:sz w:val="20"/>
        </w:rPr>
        <w:t xml:space="preserve">enjoy welfare and social insurance according to the Company's general regulations (The Company pays social insurance, health insurance, unemployment insurance, union fees and </w:t>
      </w:r>
      <w:r w:rsidR="00655F61" w:rsidRPr="00BC0918">
        <w:rPr>
          <w:rFonts w:ascii="Arial" w:hAnsi="Arial" w:cs="Arial"/>
          <w:color w:val="010000"/>
          <w:sz w:val="20"/>
        </w:rPr>
        <w:t>appropriate</w:t>
      </w:r>
      <w:r w:rsidRPr="00BC0918">
        <w:rPr>
          <w:rFonts w:ascii="Arial" w:hAnsi="Arial" w:cs="Arial"/>
          <w:color w:val="010000"/>
          <w:sz w:val="20"/>
        </w:rPr>
        <w:t xml:space="preserve"> from salary/remuneration of the Chief of the Supervisory Board according to the provisions of law).</w:t>
      </w:r>
    </w:p>
    <w:p w14:paraId="3571471D" w14:textId="77777777" w:rsidR="00E94F4F" w:rsidRPr="00BC0918" w:rsidRDefault="0060734F" w:rsidP="00D130DF">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BC0918">
        <w:rPr>
          <w:rFonts w:ascii="Arial" w:hAnsi="Arial" w:cs="Arial"/>
          <w:color w:val="010000"/>
          <w:sz w:val="20"/>
        </w:rPr>
        <w:t>Member of the Supervisory Board: VND 5,000,000/person/month;</w:t>
      </w:r>
    </w:p>
    <w:p w14:paraId="55C1E3D3" w14:textId="1471599A" w:rsidR="00E94F4F" w:rsidRPr="00BC0918" w:rsidRDefault="0060734F" w:rsidP="00D130DF">
      <w:pPr>
        <w:numPr>
          <w:ilvl w:val="0"/>
          <w:numId w:val="2"/>
        </w:numPr>
        <w:pBdr>
          <w:top w:val="nil"/>
          <w:left w:val="nil"/>
          <w:bottom w:val="nil"/>
          <w:right w:val="nil"/>
          <w:between w:val="nil"/>
        </w:pBdr>
        <w:tabs>
          <w:tab w:val="left" w:pos="464"/>
        </w:tabs>
        <w:spacing w:after="120" w:line="360" w:lineRule="auto"/>
        <w:jc w:val="both"/>
        <w:rPr>
          <w:rFonts w:ascii="Arial" w:eastAsia="Arial" w:hAnsi="Arial" w:cs="Arial"/>
          <w:color w:val="010000"/>
          <w:sz w:val="20"/>
          <w:szCs w:val="20"/>
        </w:rPr>
      </w:pPr>
      <w:r w:rsidRPr="00BC0918">
        <w:rPr>
          <w:rFonts w:ascii="Arial" w:hAnsi="Arial" w:cs="Arial"/>
          <w:color w:val="010000"/>
          <w:sz w:val="20"/>
        </w:rPr>
        <w:t xml:space="preserve">General Mandate 7: The General Meeting of Shareholders approves the authorization for the Board of Directors to decide on the selection of </w:t>
      </w:r>
      <w:r w:rsidR="00655F61" w:rsidRPr="00BC0918">
        <w:rPr>
          <w:rFonts w:ascii="Arial" w:hAnsi="Arial" w:cs="Arial"/>
          <w:color w:val="010000"/>
          <w:sz w:val="20"/>
        </w:rPr>
        <w:t xml:space="preserve">Deloitte Vietnam Company Limited </w:t>
      </w:r>
      <w:r w:rsidRPr="00BC0918">
        <w:rPr>
          <w:rFonts w:ascii="Arial" w:hAnsi="Arial" w:cs="Arial"/>
          <w:color w:val="010000"/>
          <w:sz w:val="20"/>
        </w:rPr>
        <w:t>to be the independent audit company to audit the Company's Financial Statements 2024 or another audit company approved to audit the Financial Statements and assign the Company's General Manager to sign a contract to provide audit services with the selected audit company.</w:t>
      </w:r>
    </w:p>
    <w:p w14:paraId="0A4DE9A7" w14:textId="384BE1F0" w:rsidR="00E94F4F" w:rsidRPr="00BC0918" w:rsidRDefault="0060734F" w:rsidP="00D130DF">
      <w:pPr>
        <w:numPr>
          <w:ilvl w:val="0"/>
          <w:numId w:val="2"/>
        </w:numPr>
        <w:pBdr>
          <w:top w:val="nil"/>
          <w:left w:val="nil"/>
          <w:bottom w:val="nil"/>
          <w:right w:val="nil"/>
          <w:between w:val="nil"/>
        </w:pBdr>
        <w:tabs>
          <w:tab w:val="left" w:pos="394"/>
        </w:tabs>
        <w:spacing w:after="120" w:line="360" w:lineRule="auto"/>
        <w:jc w:val="both"/>
        <w:rPr>
          <w:rFonts w:ascii="Arial" w:eastAsia="Arial" w:hAnsi="Arial" w:cs="Arial"/>
          <w:color w:val="010000"/>
          <w:sz w:val="20"/>
          <w:szCs w:val="20"/>
        </w:rPr>
      </w:pPr>
      <w:r w:rsidRPr="00BC0918">
        <w:rPr>
          <w:rFonts w:ascii="Arial" w:hAnsi="Arial" w:cs="Arial"/>
          <w:color w:val="010000"/>
          <w:sz w:val="20"/>
        </w:rPr>
        <w:t xml:space="preserve">General Mandate 8: The General Meeting of Shareholders fully authorizes the Board of Directors to consider, decide, and organize the implementation of issues approved by the General Meeting of Shareholders, consider and decide on other arising issues </w:t>
      </w:r>
      <w:r w:rsidR="0046187F" w:rsidRPr="00BC0918">
        <w:rPr>
          <w:rFonts w:ascii="Arial" w:hAnsi="Arial" w:cs="Arial"/>
          <w:color w:val="010000"/>
          <w:sz w:val="20"/>
        </w:rPr>
        <w:t>under</w:t>
      </w:r>
      <w:r w:rsidRPr="00BC0918">
        <w:rPr>
          <w:rFonts w:ascii="Arial" w:hAnsi="Arial" w:cs="Arial"/>
          <w:color w:val="010000"/>
          <w:sz w:val="20"/>
        </w:rPr>
        <w:t xml:space="preserve"> the authority of the General Meeting of Shareholders that must be resolved between two Annual General Meetings of Shareholders, carry out related procedures according to regulations. The contents of the General Mandates and authorizations according to the Annual General Mandate 2024 take effect from the date of their approval and do not limit the validity period until the General Meeting of Shareholders makes other </w:t>
      </w:r>
      <w:r w:rsidRPr="00BC0918">
        <w:rPr>
          <w:rFonts w:ascii="Arial" w:hAnsi="Arial" w:cs="Arial"/>
          <w:color w:val="010000"/>
          <w:sz w:val="20"/>
        </w:rPr>
        <w:lastRenderedPageBreak/>
        <w:t>decisions to replace them.</w:t>
      </w:r>
    </w:p>
    <w:p w14:paraId="6A095088" w14:textId="77777777" w:rsidR="00E94F4F" w:rsidRPr="00BC0918" w:rsidRDefault="0060734F" w:rsidP="00D130DF">
      <w:pPr>
        <w:pBdr>
          <w:top w:val="nil"/>
          <w:left w:val="nil"/>
          <w:bottom w:val="nil"/>
          <w:right w:val="nil"/>
          <w:between w:val="nil"/>
        </w:pBdr>
        <w:spacing w:after="120" w:line="360" w:lineRule="auto"/>
        <w:jc w:val="both"/>
        <w:rPr>
          <w:rFonts w:ascii="Arial" w:eastAsia="Arial" w:hAnsi="Arial" w:cs="Arial"/>
          <w:color w:val="010000"/>
          <w:sz w:val="20"/>
          <w:szCs w:val="20"/>
        </w:rPr>
      </w:pPr>
      <w:r w:rsidRPr="00BC0918">
        <w:rPr>
          <w:rFonts w:ascii="Arial" w:hAnsi="Arial" w:cs="Arial"/>
          <w:color w:val="010000"/>
          <w:sz w:val="20"/>
        </w:rPr>
        <w:t>Article 2: This General Mandate takes effect from the date of its signing.</w:t>
      </w:r>
    </w:p>
    <w:p w14:paraId="02635956" w14:textId="4D280A06" w:rsidR="00E94F4F" w:rsidRPr="00BA10C2" w:rsidRDefault="0060734F" w:rsidP="00D130DF">
      <w:pPr>
        <w:pBdr>
          <w:top w:val="nil"/>
          <w:left w:val="nil"/>
          <w:bottom w:val="nil"/>
          <w:right w:val="nil"/>
          <w:between w:val="nil"/>
        </w:pBdr>
        <w:spacing w:after="120" w:line="360" w:lineRule="auto"/>
        <w:jc w:val="both"/>
        <w:rPr>
          <w:rFonts w:ascii="Arial" w:eastAsia="Arial" w:hAnsi="Arial" w:cs="Arial"/>
          <w:color w:val="010000"/>
          <w:sz w:val="20"/>
          <w:szCs w:val="20"/>
        </w:rPr>
      </w:pPr>
      <w:r w:rsidRPr="00BC0918">
        <w:rPr>
          <w:rFonts w:ascii="Arial" w:hAnsi="Arial" w:cs="Arial"/>
          <w:color w:val="010000"/>
          <w:sz w:val="20"/>
        </w:rPr>
        <w:t xml:space="preserve">Shareholders, the Board of Directors, the Supervisory Board, </w:t>
      </w:r>
      <w:r w:rsidR="0046187F" w:rsidRPr="00BC0918">
        <w:rPr>
          <w:rFonts w:ascii="Arial" w:hAnsi="Arial" w:cs="Arial"/>
          <w:color w:val="010000"/>
          <w:sz w:val="20"/>
        </w:rPr>
        <w:t xml:space="preserve">the </w:t>
      </w:r>
      <w:r w:rsidRPr="00BC0918">
        <w:rPr>
          <w:rFonts w:ascii="Arial" w:hAnsi="Arial" w:cs="Arial"/>
          <w:color w:val="010000"/>
          <w:sz w:val="20"/>
        </w:rPr>
        <w:t>Board of Management, Heads of departments/branches/</w:t>
      </w:r>
      <w:r w:rsidR="0046187F" w:rsidRPr="00BC0918">
        <w:rPr>
          <w:rFonts w:ascii="Arial" w:hAnsi="Arial" w:cs="Arial"/>
          <w:color w:val="010000"/>
          <w:sz w:val="20"/>
        </w:rPr>
        <w:t>subsidiaries</w:t>
      </w:r>
      <w:r w:rsidRPr="00BC0918">
        <w:rPr>
          <w:rFonts w:ascii="Arial" w:hAnsi="Arial" w:cs="Arial"/>
          <w:color w:val="010000"/>
          <w:sz w:val="20"/>
        </w:rPr>
        <w:t xml:space="preserve"> and relevant individuals are responsible for the implementation of this General Mandate.</w:t>
      </w:r>
      <w:bookmarkStart w:id="1" w:name="_GoBack"/>
      <w:bookmarkEnd w:id="1"/>
    </w:p>
    <w:sectPr w:rsidR="00E94F4F" w:rsidRPr="00BA10C2" w:rsidSect="00BA10C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343A"/>
    <w:multiLevelType w:val="multilevel"/>
    <w:tmpl w:val="8AFEC782"/>
    <w:lvl w:ilvl="0">
      <w:start w:val="7"/>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2A83FD9"/>
    <w:multiLevelType w:val="multilevel"/>
    <w:tmpl w:val="9CBE99D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4D6D88"/>
    <w:multiLevelType w:val="multilevel"/>
    <w:tmpl w:val="97AC36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253620"/>
    <w:multiLevelType w:val="multilevel"/>
    <w:tmpl w:val="7506C9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F861719"/>
    <w:multiLevelType w:val="multilevel"/>
    <w:tmpl w:val="B6708C7C"/>
    <w:lvl w:ilvl="0">
      <w:start w:val="1"/>
      <w:numFmt w:val="decimal"/>
      <w:lvlText w:val="6.%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7B76FC1"/>
    <w:multiLevelType w:val="multilevel"/>
    <w:tmpl w:val="329CEAF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4F"/>
    <w:rsid w:val="0046187F"/>
    <w:rsid w:val="0060734F"/>
    <w:rsid w:val="00655F61"/>
    <w:rsid w:val="00894866"/>
    <w:rsid w:val="00B77180"/>
    <w:rsid w:val="00BA10C2"/>
    <w:rsid w:val="00BC0918"/>
    <w:rsid w:val="00D130DF"/>
    <w:rsid w:val="00E9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E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F87781"/>
      <w:sz w:val="15"/>
      <w:szCs w:val="15"/>
      <w:u w:val="singl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2"/>
      <w:szCs w:val="32"/>
      <w:u w:val="none"/>
      <w:shd w:val="clear" w:color="auto" w:fill="FFFFFF"/>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jc w:val="right"/>
    </w:pPr>
    <w:rPr>
      <w:rFonts w:ascii="Arial" w:eastAsia="Arial" w:hAnsi="Arial" w:cs="Arial"/>
      <w:color w:val="F87781"/>
      <w:sz w:val="15"/>
      <w:szCs w:val="15"/>
      <w:u w:val="single"/>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2"/>
      <w:szCs w:val="22"/>
    </w:rPr>
  </w:style>
  <w:style w:type="paragraph" w:customStyle="1" w:styleId="Tiu10">
    <w:name w:val="Tiêu đề #1"/>
    <w:basedOn w:val="Normal"/>
    <w:link w:val="Tiu1"/>
    <w:pPr>
      <w:ind w:firstLine="920"/>
      <w:outlineLvl w:val="0"/>
    </w:pPr>
    <w:rPr>
      <w:rFonts w:ascii="Arial" w:eastAsia="Arial" w:hAnsi="Arial" w:cs="Arial"/>
      <w:sz w:val="32"/>
      <w:szCs w:val="32"/>
      <w:shd w:val="clear" w:color="auto" w:fill="FFFFFF"/>
    </w:rPr>
  </w:style>
  <w:style w:type="paragraph" w:customStyle="1" w:styleId="Tiu20">
    <w:name w:val="Tiêu đề #2"/>
    <w:basedOn w:val="Normal"/>
    <w:link w:val="Tiu2"/>
    <w:pPr>
      <w:jc w:val="center"/>
      <w:outlineLvl w:val="1"/>
    </w:pPr>
    <w:rPr>
      <w:rFonts w:ascii="Times New Roman" w:eastAsia="Times New Roman" w:hAnsi="Times New Roman" w:cs="Times New Roman"/>
      <w:b/>
      <w:bCs/>
    </w:rPr>
  </w:style>
  <w:style w:type="paragraph" w:customStyle="1" w:styleId="Chthchbng0">
    <w:name w:val="Chú thích bảng"/>
    <w:basedOn w:val="Normal"/>
    <w:link w:val="Chthchbng"/>
    <w:pPr>
      <w:spacing w:line="254" w:lineRule="auto"/>
      <w:ind w:left="320" w:hanging="320"/>
    </w:pPr>
    <w:rPr>
      <w:rFonts w:ascii="Times New Roman" w:eastAsia="Times New Roman" w:hAnsi="Times New Roman" w:cs="Times New Roman"/>
      <w:sz w:val="22"/>
      <w:szCs w:val="22"/>
    </w:rPr>
  </w:style>
  <w:style w:type="paragraph" w:customStyle="1" w:styleId="Khc0">
    <w:name w:val="Khác"/>
    <w:basedOn w:val="Normal"/>
    <w:link w:val="Khc"/>
    <w:pPr>
      <w:spacing w:line="252"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07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F87781"/>
      <w:sz w:val="15"/>
      <w:szCs w:val="15"/>
      <w:u w:val="singl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2"/>
      <w:szCs w:val="32"/>
      <w:u w:val="none"/>
      <w:shd w:val="clear" w:color="auto" w:fill="FFFFFF"/>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jc w:val="right"/>
    </w:pPr>
    <w:rPr>
      <w:rFonts w:ascii="Arial" w:eastAsia="Arial" w:hAnsi="Arial" w:cs="Arial"/>
      <w:color w:val="F87781"/>
      <w:sz w:val="15"/>
      <w:szCs w:val="15"/>
      <w:u w:val="single"/>
    </w:rPr>
  </w:style>
  <w:style w:type="paragraph" w:customStyle="1" w:styleId="Vnbnnidung0">
    <w:name w:val="Văn bản nội dung"/>
    <w:basedOn w:val="Normal"/>
    <w:link w:val="Vnbnnidung"/>
    <w:pPr>
      <w:spacing w:line="252" w:lineRule="auto"/>
    </w:pPr>
    <w:rPr>
      <w:rFonts w:ascii="Times New Roman" w:eastAsia="Times New Roman" w:hAnsi="Times New Roman" w:cs="Times New Roman"/>
      <w:sz w:val="22"/>
      <w:szCs w:val="22"/>
    </w:rPr>
  </w:style>
  <w:style w:type="paragraph" w:customStyle="1" w:styleId="Tiu10">
    <w:name w:val="Tiêu đề #1"/>
    <w:basedOn w:val="Normal"/>
    <w:link w:val="Tiu1"/>
    <w:pPr>
      <w:ind w:firstLine="920"/>
      <w:outlineLvl w:val="0"/>
    </w:pPr>
    <w:rPr>
      <w:rFonts w:ascii="Arial" w:eastAsia="Arial" w:hAnsi="Arial" w:cs="Arial"/>
      <w:sz w:val="32"/>
      <w:szCs w:val="32"/>
      <w:shd w:val="clear" w:color="auto" w:fill="FFFFFF"/>
    </w:rPr>
  </w:style>
  <w:style w:type="paragraph" w:customStyle="1" w:styleId="Tiu20">
    <w:name w:val="Tiêu đề #2"/>
    <w:basedOn w:val="Normal"/>
    <w:link w:val="Tiu2"/>
    <w:pPr>
      <w:jc w:val="center"/>
      <w:outlineLvl w:val="1"/>
    </w:pPr>
    <w:rPr>
      <w:rFonts w:ascii="Times New Roman" w:eastAsia="Times New Roman" w:hAnsi="Times New Roman" w:cs="Times New Roman"/>
      <w:b/>
      <w:bCs/>
    </w:rPr>
  </w:style>
  <w:style w:type="paragraph" w:customStyle="1" w:styleId="Chthchbng0">
    <w:name w:val="Chú thích bảng"/>
    <w:basedOn w:val="Normal"/>
    <w:link w:val="Chthchbng"/>
    <w:pPr>
      <w:spacing w:line="254" w:lineRule="auto"/>
      <w:ind w:left="320" w:hanging="320"/>
    </w:pPr>
    <w:rPr>
      <w:rFonts w:ascii="Times New Roman" w:eastAsia="Times New Roman" w:hAnsi="Times New Roman" w:cs="Times New Roman"/>
      <w:sz w:val="22"/>
      <w:szCs w:val="22"/>
    </w:rPr>
  </w:style>
  <w:style w:type="paragraph" w:customStyle="1" w:styleId="Khc0">
    <w:name w:val="Khác"/>
    <w:basedOn w:val="Normal"/>
    <w:link w:val="Khc"/>
    <w:pPr>
      <w:spacing w:line="252" w:lineRule="auto"/>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60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3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kLLCH8wL6gAY8TdciseMZXTKpg==">CgMxLjAyCGguZ2pkZ3hzOAByITFaOEQ5aFhDdnVCa1JHbTdTZkJvYmxrRmJLV0xrRkIwYg==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1052</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2024-05-10T04:08:00Z</dcterms:created>
  <dcterms:modified xsi:type="dcterms:W3CDTF">2024-05-14T08:19:00Z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4dd2e17ad12366cb7b87bc69f73995a574cf39a635a546858858692f478afdde</vt:lpwstr>
  </property>
</Properties>
</file>