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2C6A7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2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85951">
        <w:rPr>
          <w:rFonts w:ascii="Arial" w:hAnsi="Arial" w:cs="Arial"/>
          <w:b/>
          <w:color w:val="010000"/>
          <w:sz w:val="20"/>
        </w:rPr>
        <w:t>BLT: Annual General Mandate 2024</w:t>
      </w:r>
    </w:p>
    <w:p w14:paraId="469BA18D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On May 6, 2024, </w:t>
      </w:r>
      <w:proofErr w:type="spellStart"/>
      <w:r w:rsidRPr="00E85951">
        <w:rPr>
          <w:rFonts w:ascii="Arial" w:hAnsi="Arial" w:cs="Arial"/>
          <w:color w:val="010000"/>
          <w:sz w:val="20"/>
        </w:rPr>
        <w:t>Binh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951">
        <w:rPr>
          <w:rFonts w:ascii="Arial" w:hAnsi="Arial" w:cs="Arial"/>
          <w:color w:val="010000"/>
          <w:sz w:val="20"/>
        </w:rPr>
        <w:t>Dinh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Food Joint Stock Company announced </w:t>
      </w:r>
      <w:r w:rsidR="00595F37" w:rsidRPr="00E85951">
        <w:rPr>
          <w:rFonts w:ascii="Arial" w:hAnsi="Arial" w:cs="Arial"/>
          <w:color w:val="010000"/>
          <w:sz w:val="20"/>
        </w:rPr>
        <w:t xml:space="preserve">Annual </w:t>
      </w:r>
      <w:r w:rsidRPr="00E85951">
        <w:rPr>
          <w:rFonts w:ascii="Arial" w:hAnsi="Arial" w:cs="Arial"/>
          <w:color w:val="010000"/>
          <w:sz w:val="20"/>
        </w:rPr>
        <w:t>General Mandate No. 01/NQ-DHDCD as follows:</w:t>
      </w:r>
    </w:p>
    <w:p w14:paraId="5B91707E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‎‎Article 1. Approve the Report on the work and activities of the Board of Directors 2023</w:t>
      </w:r>
    </w:p>
    <w:p w14:paraId="75957C8B" w14:textId="3675569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‎‎Article 2. Approve the Report on production and business results </w:t>
      </w:r>
      <w:r w:rsidR="00AF4B1C">
        <w:rPr>
          <w:rFonts w:ascii="Arial" w:hAnsi="Arial" w:cs="Arial"/>
          <w:color w:val="010000"/>
          <w:sz w:val="20"/>
        </w:rPr>
        <w:t xml:space="preserve">for </w:t>
      </w:r>
      <w:r w:rsidRPr="00E85951">
        <w:rPr>
          <w:rFonts w:ascii="Arial" w:hAnsi="Arial" w:cs="Arial"/>
          <w:color w:val="010000"/>
          <w:sz w:val="20"/>
        </w:rPr>
        <w:t>2023 and the production and business plan for 2024.</w:t>
      </w:r>
    </w:p>
    <w:p w14:paraId="02D7DA7C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Production and business results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2"/>
        <w:gridCol w:w="2486"/>
        <w:gridCol w:w="1284"/>
        <w:gridCol w:w="1195"/>
        <w:gridCol w:w="1209"/>
        <w:gridCol w:w="1161"/>
        <w:gridCol w:w="1150"/>
      </w:tblGrid>
      <w:tr w:rsidR="00CE5F37" w:rsidRPr="00E85951" w14:paraId="1527B7EE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56F6F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0CB7E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B8D46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76A81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Plan</w:t>
            </w:r>
            <w:r w:rsidR="00085B40" w:rsidRPr="00E85951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DB9EA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Results</w:t>
            </w:r>
            <w:r w:rsidR="00085B40" w:rsidRPr="00E85951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24B28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Compared to Plan (%)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A0ED4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Compared to 2022 (%)</w:t>
            </w:r>
          </w:p>
        </w:tc>
      </w:tr>
      <w:tr w:rsidR="00CE5F37" w:rsidRPr="00E85951" w14:paraId="0AC7FF0A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7E1EE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33158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8B431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590A0" w14:textId="77777777" w:rsidR="00CE5F37" w:rsidRPr="00E85951" w:rsidRDefault="00CE5F37" w:rsidP="00AF4B1C">
            <w:pP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9EEEA" w14:textId="77777777" w:rsidR="00CE5F37" w:rsidRPr="00E85951" w:rsidRDefault="00CE5F37" w:rsidP="00AF4B1C">
            <w:pP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F67F8" w14:textId="77777777" w:rsidR="00CE5F37" w:rsidRPr="00E85951" w:rsidRDefault="00CE5F37" w:rsidP="00AF4B1C">
            <w:pP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4589A" w14:textId="77777777" w:rsidR="00CE5F37" w:rsidRPr="00E85951" w:rsidRDefault="00CE5F37" w:rsidP="00AF4B1C">
            <w:pP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E5F37" w:rsidRPr="00E85951" w14:paraId="2BCF61B4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FD61C" w14:textId="77777777" w:rsidR="00CE5F37" w:rsidRPr="00E85951" w:rsidRDefault="00CE5F37" w:rsidP="00AF4B1C">
            <w:pP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5C1D7" w14:textId="77777777" w:rsidR="00CE5F37" w:rsidRPr="00E85951" w:rsidRDefault="00892739" w:rsidP="00AF4B1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Rice</w:t>
            </w:r>
            <w:r w:rsidR="00595F37" w:rsidRPr="00E85951">
              <w:rPr>
                <w:rFonts w:ascii="Arial" w:hAnsi="Arial" w:cs="Arial"/>
                <w:color w:val="010000"/>
                <w:sz w:val="20"/>
              </w:rPr>
              <w:t xml:space="preserve"> and paddy (converted to rice)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A54DB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64A27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90,000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75F8F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115,097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9BCED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127.89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1B0FB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112.94</w:t>
            </w:r>
          </w:p>
        </w:tc>
      </w:tr>
      <w:tr w:rsidR="00CE5F37" w:rsidRPr="00E85951" w14:paraId="085C009C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40C08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E8059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EB053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F1965" w14:textId="77777777" w:rsidR="00CE5F37" w:rsidRPr="00E85951" w:rsidRDefault="00CE5F37" w:rsidP="006B0275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E2F34" w14:textId="77777777" w:rsidR="00CE5F37" w:rsidRPr="00E85951" w:rsidRDefault="00CE5F37" w:rsidP="006B0275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5B87B" w14:textId="77777777" w:rsidR="00CE5F37" w:rsidRPr="00E85951" w:rsidRDefault="00CE5F37" w:rsidP="006B0275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31151" w14:textId="77777777" w:rsidR="00CE5F37" w:rsidRPr="00E85951" w:rsidRDefault="00CE5F37" w:rsidP="006B0275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5F37" w:rsidRPr="00E85951" w14:paraId="54187561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00C48" w14:textId="77777777" w:rsidR="00595F37" w:rsidRPr="00E85951" w:rsidRDefault="00595F37" w:rsidP="00AF4B1C">
            <w:pP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3F50E" w14:textId="77777777" w:rsidR="00595F37" w:rsidRPr="00E85951" w:rsidRDefault="00595F37" w:rsidP="00AF4B1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Rice and paddy (converted to rice)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CFE30" w14:textId="77777777" w:rsidR="00595F37" w:rsidRPr="00E85951" w:rsidRDefault="00595F37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06B0D" w14:textId="77777777" w:rsidR="00595F37" w:rsidRPr="00E85951" w:rsidRDefault="00595F37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85,000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7B5FB" w14:textId="77777777" w:rsidR="00595F37" w:rsidRPr="00E85951" w:rsidRDefault="00595F37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114,282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D1329" w14:textId="77777777" w:rsidR="00595F37" w:rsidRPr="00E85951" w:rsidRDefault="00595F37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134.45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4CF7A" w14:textId="77777777" w:rsidR="00595F37" w:rsidRPr="00E85951" w:rsidRDefault="00595F37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105.88</w:t>
            </w:r>
          </w:p>
        </w:tc>
      </w:tr>
      <w:tr w:rsidR="00CE5F37" w:rsidRPr="00E85951" w14:paraId="228D9533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BE008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E6BEB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F0E7C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B650B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926,057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0211B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1,492,753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2AE93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161.19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005DB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127.83</w:t>
            </w:r>
          </w:p>
        </w:tc>
      </w:tr>
      <w:tr w:rsidR="00CE5F37" w:rsidRPr="00E85951" w14:paraId="39AE8980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19C12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D3083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Export turnover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AE07C" w14:textId="5CA2606C" w:rsidR="00CE5F37" w:rsidRPr="00E85951" w:rsidRDefault="005952F5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Thousand USD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2FF84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36,456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13834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59,654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60726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163.63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CF1A1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128.64</w:t>
            </w:r>
          </w:p>
        </w:tc>
      </w:tr>
      <w:tr w:rsidR="00CE5F37" w:rsidRPr="00E85951" w14:paraId="02834E35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DCF6F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BD0A9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09646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1BBB8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6,600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B55D6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18,157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8E455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275.11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C78CF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148.17</w:t>
            </w:r>
          </w:p>
        </w:tc>
      </w:tr>
      <w:tr w:rsidR="00CE5F37" w:rsidRPr="00E85951" w14:paraId="16BB899D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BF2CB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DF752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Profit/ charter capital rate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5B74A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54E0D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16.5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01D18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45.39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8E96C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275.11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FCDEA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148.17</w:t>
            </w:r>
          </w:p>
        </w:tc>
      </w:tr>
      <w:tr w:rsidR="00CE5F37" w:rsidRPr="00E85951" w14:paraId="1588BEEE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B0C66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78004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 xml:space="preserve">Payable to </w:t>
            </w:r>
            <w:r w:rsidR="00085B40" w:rsidRPr="00E8595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E85951">
              <w:rPr>
                <w:rFonts w:ascii="Arial" w:hAnsi="Arial" w:cs="Arial"/>
                <w:color w:val="010000"/>
                <w:sz w:val="20"/>
              </w:rPr>
              <w:t>State budget</w:t>
            </w:r>
            <w:r w:rsidR="00085B40" w:rsidRPr="00E8595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85951">
              <w:rPr>
                <w:rFonts w:ascii="Arial" w:hAnsi="Arial" w:cs="Arial"/>
                <w:color w:val="010000"/>
                <w:sz w:val="20"/>
              </w:rPr>
              <w:t>(</w:t>
            </w:r>
            <w:r w:rsidR="00085B40" w:rsidRPr="00E85951">
              <w:rPr>
                <w:rFonts w:ascii="Arial" w:hAnsi="Arial" w:cs="Arial"/>
                <w:color w:val="010000"/>
                <w:sz w:val="20"/>
              </w:rPr>
              <w:t xml:space="preserve">paid </w:t>
            </w:r>
            <w:r w:rsidRPr="00E85951">
              <w:rPr>
                <w:rFonts w:ascii="Arial" w:hAnsi="Arial" w:cs="Arial"/>
                <w:color w:val="010000"/>
                <w:sz w:val="20"/>
              </w:rPr>
              <w:t>amount)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706ED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17408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According to the regulations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D511E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4,324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DA932" w14:textId="77777777" w:rsidR="00CE5F37" w:rsidRPr="00E85951" w:rsidRDefault="00CE5F37" w:rsidP="006B0275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0869A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148.98</w:t>
            </w:r>
          </w:p>
        </w:tc>
      </w:tr>
      <w:tr w:rsidR="00CE5F37" w:rsidRPr="00E85951" w14:paraId="5E785504" w14:textId="77777777" w:rsidTr="005952F5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1630A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14169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73D9F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3ECDC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5.8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25D35" w14:textId="77777777" w:rsidR="00CE5F37" w:rsidRPr="00E85951" w:rsidRDefault="00CE5F37" w:rsidP="006B0275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E9750" w14:textId="77777777" w:rsidR="00CE5F37" w:rsidRPr="00E85951" w:rsidRDefault="00CE5F37" w:rsidP="006B0275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FC8D4" w14:textId="77777777" w:rsidR="00CE5F37" w:rsidRPr="00E85951" w:rsidRDefault="00892739" w:rsidP="006B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496258CA" w14:textId="16E097D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Production and </w:t>
      </w:r>
      <w:r w:rsidR="006B0275">
        <w:rPr>
          <w:rFonts w:ascii="Arial" w:hAnsi="Arial" w:cs="Arial"/>
          <w:color w:val="010000"/>
          <w:sz w:val="20"/>
        </w:rPr>
        <w:t>Business Plan</w:t>
      </w:r>
      <w:r w:rsidRPr="00E85951">
        <w:rPr>
          <w:rFonts w:ascii="Arial" w:hAnsi="Arial" w:cs="Arial"/>
          <w:color w:val="010000"/>
          <w:sz w:val="20"/>
        </w:rPr>
        <w:t xml:space="preserve"> 2024</w:t>
      </w:r>
    </w:p>
    <w:p w14:paraId="5CF50B28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Some main production and business targets:</w:t>
      </w:r>
    </w:p>
    <w:p w14:paraId="3FB9EC33" w14:textId="77777777" w:rsidR="00CE5F37" w:rsidRPr="00E85951" w:rsidRDefault="00892739" w:rsidP="00AF4B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Purchase:</w:t>
      </w:r>
    </w:p>
    <w:p w14:paraId="5AA7453B" w14:textId="13FA15DF" w:rsidR="00CE5F37" w:rsidRPr="00E85951" w:rsidRDefault="006B0275" w:rsidP="00AF4B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2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Foodstuff</w:t>
      </w:r>
      <w:r w:rsidR="00892739" w:rsidRPr="00E85951">
        <w:rPr>
          <w:rFonts w:ascii="Arial" w:hAnsi="Arial" w:cs="Arial"/>
          <w:color w:val="010000"/>
          <w:sz w:val="20"/>
        </w:rPr>
        <w:t xml:space="preserve"> </w:t>
      </w:r>
      <w:r w:rsidR="00085B40" w:rsidRPr="00E85951">
        <w:rPr>
          <w:rFonts w:ascii="Arial" w:hAnsi="Arial" w:cs="Arial"/>
          <w:color w:val="010000"/>
          <w:sz w:val="20"/>
        </w:rPr>
        <w:t xml:space="preserve">(converted to rice): </w:t>
      </w:r>
      <w:r w:rsidR="00892739" w:rsidRPr="00E85951">
        <w:rPr>
          <w:rFonts w:ascii="Arial" w:hAnsi="Arial" w:cs="Arial"/>
          <w:color w:val="010000"/>
          <w:sz w:val="20"/>
        </w:rPr>
        <w:t>95,000 tons</w:t>
      </w:r>
    </w:p>
    <w:p w14:paraId="5E17C711" w14:textId="77777777" w:rsidR="00CE5F37" w:rsidRPr="00E85951" w:rsidRDefault="00892739" w:rsidP="00AF4B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Sell:</w:t>
      </w:r>
    </w:p>
    <w:p w14:paraId="513CC0D3" w14:textId="53408144" w:rsidR="00CE5F37" w:rsidRPr="00E85951" w:rsidRDefault="006B0275" w:rsidP="00AF4B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Foodstuff</w:t>
      </w:r>
      <w:r w:rsidR="00892739" w:rsidRPr="00E85951">
        <w:rPr>
          <w:rFonts w:ascii="Arial" w:hAnsi="Arial" w:cs="Arial"/>
          <w:color w:val="010000"/>
          <w:sz w:val="20"/>
        </w:rPr>
        <w:t xml:space="preserve"> </w:t>
      </w:r>
      <w:r w:rsidR="00085B40" w:rsidRPr="00E85951">
        <w:rPr>
          <w:rFonts w:ascii="Arial" w:hAnsi="Arial" w:cs="Arial"/>
          <w:color w:val="010000"/>
          <w:sz w:val="20"/>
        </w:rPr>
        <w:t xml:space="preserve">(converted to rice): </w:t>
      </w:r>
      <w:r w:rsidR="00892739" w:rsidRPr="00E85951">
        <w:rPr>
          <w:rFonts w:ascii="Arial" w:hAnsi="Arial" w:cs="Arial"/>
          <w:color w:val="010000"/>
          <w:sz w:val="20"/>
        </w:rPr>
        <w:t>95,000 tons</w:t>
      </w:r>
    </w:p>
    <w:p w14:paraId="22BE3CD7" w14:textId="77777777" w:rsidR="00CE5F37" w:rsidRPr="00E85951" w:rsidRDefault="00892739" w:rsidP="00AF4B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28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Direct export: 87,000 tons </w:t>
      </w:r>
    </w:p>
    <w:p w14:paraId="7730C3F1" w14:textId="77777777" w:rsidR="00CE5F37" w:rsidRPr="00E85951" w:rsidRDefault="00892739" w:rsidP="00AF4B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35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lastRenderedPageBreak/>
        <w:t>Domestic business: 8,000 tons</w:t>
      </w:r>
    </w:p>
    <w:p w14:paraId="24D9EB77" w14:textId="77777777" w:rsidR="00CE5F37" w:rsidRPr="00E85951" w:rsidRDefault="00892739" w:rsidP="00AF4B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Total revenue: VND 1,250 billion</w:t>
      </w:r>
    </w:p>
    <w:p w14:paraId="572AF1E5" w14:textId="77777777" w:rsidR="00CE5F37" w:rsidRPr="00E85951" w:rsidRDefault="00892739" w:rsidP="00AF4B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7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Profit before tax: VND 7.8 billion</w:t>
      </w:r>
    </w:p>
    <w:p w14:paraId="258ECAD7" w14:textId="77777777" w:rsidR="00CE5F37" w:rsidRPr="00E85951" w:rsidRDefault="00892739" w:rsidP="00AF4B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7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Payable to </w:t>
      </w:r>
      <w:r w:rsidR="00085B40" w:rsidRPr="00E85951">
        <w:rPr>
          <w:rFonts w:ascii="Arial" w:hAnsi="Arial" w:cs="Arial"/>
          <w:color w:val="010000"/>
          <w:sz w:val="20"/>
        </w:rPr>
        <w:t xml:space="preserve">the </w:t>
      </w:r>
      <w:r w:rsidRPr="00E85951">
        <w:rPr>
          <w:rFonts w:ascii="Arial" w:hAnsi="Arial" w:cs="Arial"/>
          <w:color w:val="010000"/>
          <w:sz w:val="20"/>
        </w:rPr>
        <w:t>State budget: According to the regulations</w:t>
      </w:r>
    </w:p>
    <w:p w14:paraId="72085C1D" w14:textId="6CABEB70" w:rsidR="00CE5F37" w:rsidRPr="00E85951" w:rsidRDefault="00892739" w:rsidP="00AF4B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7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Enhance trade promotion activities, </w:t>
      </w:r>
      <w:r w:rsidR="006B0275">
        <w:rPr>
          <w:rFonts w:ascii="Arial" w:hAnsi="Arial" w:cs="Arial"/>
          <w:color w:val="010000"/>
          <w:sz w:val="20"/>
        </w:rPr>
        <w:t xml:space="preserve">and </w:t>
      </w:r>
      <w:r w:rsidRPr="00E85951">
        <w:rPr>
          <w:rFonts w:ascii="Arial" w:hAnsi="Arial" w:cs="Arial"/>
          <w:color w:val="010000"/>
          <w:sz w:val="20"/>
        </w:rPr>
        <w:t>maintain and expand the company's consumer market.</w:t>
      </w:r>
    </w:p>
    <w:p w14:paraId="45C2C5B6" w14:textId="70C17A79" w:rsidR="00085B40" w:rsidRPr="00E85951" w:rsidRDefault="00892739" w:rsidP="00AF4B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8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Continue to invest in upgrading equipment and processing lines </w:t>
      </w:r>
      <w:r w:rsidR="00085B40" w:rsidRPr="00E85951">
        <w:rPr>
          <w:rFonts w:ascii="Arial" w:hAnsi="Arial" w:cs="Arial"/>
          <w:color w:val="010000"/>
          <w:sz w:val="20"/>
        </w:rPr>
        <w:t>to increase</w:t>
      </w:r>
      <w:r w:rsidRPr="00E85951">
        <w:rPr>
          <w:rFonts w:ascii="Arial" w:hAnsi="Arial" w:cs="Arial"/>
          <w:color w:val="010000"/>
          <w:sz w:val="20"/>
        </w:rPr>
        <w:t xml:space="preserve"> processing capacity and </w:t>
      </w:r>
      <w:r w:rsidR="006B0275">
        <w:rPr>
          <w:rFonts w:ascii="Arial" w:hAnsi="Arial" w:cs="Arial"/>
          <w:color w:val="010000"/>
          <w:sz w:val="20"/>
        </w:rPr>
        <w:t>improve</w:t>
      </w:r>
      <w:r w:rsidRPr="00E85951">
        <w:rPr>
          <w:rFonts w:ascii="Arial" w:hAnsi="Arial" w:cs="Arial"/>
          <w:color w:val="010000"/>
          <w:sz w:val="20"/>
        </w:rPr>
        <w:t xml:space="preserve"> product quality at various units.</w:t>
      </w:r>
    </w:p>
    <w:p w14:paraId="5C27B6A6" w14:textId="77777777" w:rsidR="00CE5F37" w:rsidRPr="00E85951" w:rsidRDefault="00892739" w:rsidP="00AF4B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8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Invest in building a reinforced</w:t>
      </w:r>
      <w:bookmarkStart w:id="0" w:name="_GoBack"/>
      <w:bookmarkEnd w:id="0"/>
      <w:r w:rsidRPr="00E85951">
        <w:rPr>
          <w:rFonts w:ascii="Arial" w:hAnsi="Arial" w:cs="Arial"/>
          <w:color w:val="010000"/>
          <w:sz w:val="20"/>
        </w:rPr>
        <w:t xml:space="preserve"> concrete revetment system, semi-roofed houses, and ancillary facilities, and restore production activities at the </w:t>
      </w:r>
      <w:proofErr w:type="spellStart"/>
      <w:r w:rsidRPr="00E85951">
        <w:rPr>
          <w:rFonts w:ascii="Arial" w:hAnsi="Arial" w:cs="Arial"/>
          <w:color w:val="010000"/>
          <w:sz w:val="20"/>
        </w:rPr>
        <w:t>Hoa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951">
        <w:rPr>
          <w:rFonts w:ascii="Arial" w:hAnsi="Arial" w:cs="Arial"/>
          <w:color w:val="010000"/>
          <w:sz w:val="20"/>
        </w:rPr>
        <w:t>Loc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warehouse cluster - </w:t>
      </w:r>
      <w:proofErr w:type="spellStart"/>
      <w:r w:rsidRPr="00E85951">
        <w:rPr>
          <w:rFonts w:ascii="Arial" w:hAnsi="Arial" w:cs="Arial"/>
          <w:color w:val="010000"/>
          <w:sz w:val="20"/>
        </w:rPr>
        <w:t>Hoa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951">
        <w:rPr>
          <w:rFonts w:ascii="Arial" w:hAnsi="Arial" w:cs="Arial"/>
          <w:color w:val="010000"/>
          <w:sz w:val="20"/>
        </w:rPr>
        <w:t>Binh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Exported Food Processing Enterprise</w:t>
      </w:r>
    </w:p>
    <w:p w14:paraId="7A96EED8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‎‎Article 3. Approve the Report of the Supervisory Board 2023.</w:t>
      </w:r>
    </w:p>
    <w:p w14:paraId="0B55CDEE" w14:textId="4B86BACF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‎‎Article 4. Approve the Company's</w:t>
      </w:r>
      <w:r w:rsidR="005340A5" w:rsidRPr="00E85951">
        <w:rPr>
          <w:rFonts w:ascii="Arial" w:hAnsi="Arial" w:cs="Arial"/>
          <w:color w:val="010000"/>
          <w:sz w:val="20"/>
        </w:rPr>
        <w:t xml:space="preserve"> </w:t>
      </w:r>
      <w:r w:rsidRPr="00E85951">
        <w:rPr>
          <w:rFonts w:ascii="Arial" w:hAnsi="Arial" w:cs="Arial"/>
          <w:color w:val="010000"/>
          <w:sz w:val="20"/>
        </w:rPr>
        <w:t>Financial Statements 2023 audited by CPA Vietnam Auditing Company Limited.</w:t>
      </w:r>
    </w:p>
    <w:p w14:paraId="75C9E7DE" w14:textId="46AF5208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‎‎Article 5. Approve the content of </w:t>
      </w:r>
      <w:r w:rsidR="008B70A2" w:rsidRPr="00E85951">
        <w:rPr>
          <w:rFonts w:ascii="Arial" w:hAnsi="Arial" w:cs="Arial"/>
          <w:color w:val="010000"/>
          <w:sz w:val="20"/>
        </w:rPr>
        <w:t xml:space="preserve">the </w:t>
      </w:r>
      <w:r w:rsidRPr="00E85951">
        <w:rPr>
          <w:rFonts w:ascii="Arial" w:hAnsi="Arial" w:cs="Arial"/>
          <w:color w:val="010000"/>
          <w:sz w:val="20"/>
        </w:rPr>
        <w:t>Proposal presented by the Board of Directors.</w:t>
      </w:r>
    </w:p>
    <w:p w14:paraId="5DD129A1" w14:textId="77777777" w:rsidR="00CE5F37" w:rsidRPr="00E85951" w:rsidRDefault="00892739" w:rsidP="00AF4B1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3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Approve the remuneration for the Board of Directors, the Supervisory Board, and the Secretariat (non-</w:t>
      </w:r>
      <w:r w:rsidR="00085B40" w:rsidRPr="00E85951">
        <w:rPr>
          <w:rFonts w:ascii="Arial" w:hAnsi="Arial" w:cs="Arial"/>
          <w:color w:val="010000"/>
          <w:sz w:val="20"/>
        </w:rPr>
        <w:t>executive</w:t>
      </w:r>
      <w:r w:rsidRPr="00E85951">
        <w:rPr>
          <w:rFonts w:ascii="Arial" w:hAnsi="Arial" w:cs="Arial"/>
          <w:color w:val="010000"/>
          <w:sz w:val="20"/>
        </w:rPr>
        <w:t xml:space="preserve"> manager) 2023 and the plan for 2024.</w:t>
      </w:r>
    </w:p>
    <w:p w14:paraId="3C36FA9A" w14:textId="77777777" w:rsidR="00CE5F37" w:rsidRPr="00AF4B1C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AF4B1C">
        <w:rPr>
          <w:rFonts w:ascii="Arial" w:hAnsi="Arial" w:cs="Arial"/>
          <w:i/>
          <w:color w:val="010000"/>
          <w:sz w:val="20"/>
        </w:rPr>
        <w:t>Unit: VND</w:t>
      </w:r>
    </w:p>
    <w:tbl>
      <w:tblPr>
        <w:tblStyle w:val="a0"/>
        <w:tblW w:w="5000" w:type="pct"/>
        <w:jc w:val="center"/>
        <w:tblLook w:val="0000" w:firstRow="0" w:lastRow="0" w:firstColumn="0" w:lastColumn="0" w:noHBand="0" w:noVBand="0"/>
      </w:tblPr>
      <w:tblGrid>
        <w:gridCol w:w="496"/>
        <w:gridCol w:w="1165"/>
        <w:gridCol w:w="856"/>
        <w:gridCol w:w="1426"/>
        <w:gridCol w:w="1216"/>
        <w:gridCol w:w="1216"/>
        <w:gridCol w:w="1426"/>
        <w:gridCol w:w="1216"/>
      </w:tblGrid>
      <w:tr w:rsidR="00CE5F37" w:rsidRPr="00E85951" w14:paraId="1AC84FAC" w14:textId="77777777" w:rsidTr="00E463E8">
        <w:trPr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8BC1D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57A08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7420D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Number of people</w:t>
            </w:r>
          </w:p>
        </w:tc>
        <w:tc>
          <w:tcPr>
            <w:tcW w:w="2118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DA897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987B6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CE5F37" w:rsidRPr="00E85951" w14:paraId="73B60D0D" w14:textId="77777777" w:rsidTr="00E463E8">
        <w:trPr>
          <w:jc w:val="center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54B62" w14:textId="77777777" w:rsidR="00CE5F37" w:rsidRPr="00E85951" w:rsidRDefault="00CE5F37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9B689" w14:textId="77777777" w:rsidR="00CE5F37" w:rsidRPr="00E85951" w:rsidRDefault="00CE5F37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C67A1" w14:textId="77777777" w:rsidR="00CE5F37" w:rsidRPr="00E85951" w:rsidRDefault="00CE5F37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07EBB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Remuneration (VND /person/month)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A8D59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Total planned amount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D58C3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Total amount executed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30AFB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Remuneration (VND /person/month)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9065E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Total planned amount</w:t>
            </w:r>
          </w:p>
        </w:tc>
      </w:tr>
      <w:tr w:rsidR="00CE5F37" w:rsidRPr="00E85951" w14:paraId="32B6F788" w14:textId="77777777" w:rsidTr="00E463E8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FA1D0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F663B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1ABB8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573DA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A735E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72,000,000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8E30B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64,000,000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B0D9D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61A2C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72,000,000</w:t>
            </w:r>
          </w:p>
        </w:tc>
      </w:tr>
      <w:tr w:rsidR="00CE5F37" w:rsidRPr="00E85951" w14:paraId="10178B1E" w14:textId="77777777" w:rsidTr="00E463E8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2E576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9BD88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8BFD5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4156A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5,000,000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63E79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240,000,000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7A649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224,000,000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321F3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5,000,000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A428B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240,000,000</w:t>
            </w:r>
          </w:p>
        </w:tc>
      </w:tr>
      <w:tr w:rsidR="00CE5F37" w:rsidRPr="00E85951" w14:paraId="10EFD4E9" w14:textId="77777777" w:rsidTr="00E463E8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0AF5A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3FC0B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8FEA5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DF92D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D0923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48,000,000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48317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44,000,000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60177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312AB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48,000,000</w:t>
            </w:r>
          </w:p>
        </w:tc>
      </w:tr>
      <w:tr w:rsidR="00CE5F37" w:rsidRPr="00E85951" w14:paraId="03CC7979" w14:textId="77777777" w:rsidTr="00E463E8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79741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29183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5182B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D11B2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CBEF8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72,000,000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6F9C1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60,000,000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8036E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87425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72,000,000</w:t>
            </w:r>
          </w:p>
        </w:tc>
      </w:tr>
      <w:tr w:rsidR="00CE5F37" w:rsidRPr="00E85951" w14:paraId="46AD6EDA" w14:textId="77777777" w:rsidTr="00E463E8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CDC1D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5377A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The Secretariat of the Board of Directors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E0F3A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AD7A0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EC769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24,000,000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4A6B0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20,000,000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B99D7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97B57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24,000,000</w:t>
            </w:r>
          </w:p>
        </w:tc>
      </w:tr>
      <w:tr w:rsidR="00CE5F37" w:rsidRPr="00E85951" w14:paraId="15C279C2" w14:textId="77777777" w:rsidTr="00E463E8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28E85" w14:textId="77777777" w:rsidR="00CE5F37" w:rsidRPr="00E85951" w:rsidRDefault="00CE5F37" w:rsidP="00AF4B1C">
            <w:pP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243C8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F23BA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A68C3" w14:textId="77777777" w:rsidR="00CE5F37" w:rsidRPr="00E85951" w:rsidRDefault="00CE5F37" w:rsidP="00E463E8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20B02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456,000,000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D2378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412,000,000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680F8" w14:textId="77777777" w:rsidR="00CE5F37" w:rsidRPr="00E85951" w:rsidRDefault="00CE5F37" w:rsidP="00E463E8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E83C8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456,000,000</w:t>
            </w:r>
          </w:p>
        </w:tc>
      </w:tr>
    </w:tbl>
    <w:p w14:paraId="60C5C2BE" w14:textId="77777777" w:rsidR="00CE5F37" w:rsidRPr="00E85951" w:rsidRDefault="00892739" w:rsidP="00AF4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3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Approve the profit after tax distribution 2023 and the plan for 2024.</w:t>
      </w:r>
    </w:p>
    <w:p w14:paraId="1DCCE6DD" w14:textId="77777777" w:rsidR="00892739" w:rsidRPr="005D23EF" w:rsidRDefault="00892739" w:rsidP="005D23E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5D23EF">
        <w:rPr>
          <w:rFonts w:ascii="Arial" w:hAnsi="Arial" w:cs="Arial"/>
          <w:i/>
          <w:color w:val="010000"/>
          <w:sz w:val="20"/>
        </w:rPr>
        <w:t>Unit: VND</w:t>
      </w: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573"/>
        <w:gridCol w:w="2943"/>
        <w:gridCol w:w="1751"/>
        <w:gridCol w:w="1876"/>
        <w:gridCol w:w="1874"/>
      </w:tblGrid>
      <w:tr w:rsidR="00CE5F37" w:rsidRPr="00E85951" w14:paraId="583A9A23" w14:textId="77777777" w:rsidTr="005952F5"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17F14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51775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19A47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8672B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CE5F37" w:rsidRPr="00E85951" w14:paraId="147BDF42" w14:textId="77777777" w:rsidTr="005952F5"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80F6C" w14:textId="77777777" w:rsidR="00CE5F37" w:rsidRPr="00E85951" w:rsidRDefault="00CE5F37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492DB" w14:textId="77777777" w:rsidR="00CE5F37" w:rsidRPr="00E85951" w:rsidRDefault="00CE5F37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28F42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EBD8E" w14:textId="03CB5399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ABDB0" w14:textId="77777777" w:rsidR="00CE5F37" w:rsidRPr="00E85951" w:rsidRDefault="00CE5F37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E5F37" w:rsidRPr="00E85951" w14:paraId="275A36D4" w14:textId="77777777" w:rsidTr="005952F5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0A40A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21542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6681C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6,600,000,000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4B98F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18,157,524,966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F966B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7,800,000,000</w:t>
            </w:r>
          </w:p>
        </w:tc>
      </w:tr>
      <w:tr w:rsidR="00CE5F37" w:rsidRPr="00E85951" w14:paraId="7678C3AD" w14:textId="77777777" w:rsidTr="005952F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62015" w14:textId="78738BE9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9A0E4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Undistributed profit after tax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E2DCF" w14:textId="77777777" w:rsidR="00CE5F37" w:rsidRPr="00E85951" w:rsidRDefault="00CE5F37" w:rsidP="00E463E8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03604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70,517,759,690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50CCD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35,337,759,690</w:t>
            </w:r>
          </w:p>
        </w:tc>
      </w:tr>
      <w:tr w:rsidR="00CE5F37" w:rsidRPr="00E85951" w14:paraId="0457ED6A" w14:textId="77777777" w:rsidTr="005952F5">
        <w:tc>
          <w:tcPr>
            <w:tcW w:w="318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7AE53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75DF9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 xml:space="preserve">Undistributed profit after tax accumulated as of the end of </w:t>
            </w:r>
            <w:r w:rsidR="005E5999" w:rsidRPr="00E8595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E85951">
              <w:rPr>
                <w:rFonts w:ascii="Arial" w:hAnsi="Arial" w:cs="Arial"/>
                <w:color w:val="010000"/>
                <w:sz w:val="20"/>
              </w:rPr>
              <w:t>previous period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CFFA8" w14:textId="77777777" w:rsidR="00CE5F37" w:rsidRPr="00E85951" w:rsidRDefault="00CE5F37" w:rsidP="00E463E8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8C6F2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56,200,000,000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4EF95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29,097,759,690</w:t>
            </w:r>
          </w:p>
        </w:tc>
      </w:tr>
      <w:tr w:rsidR="00CE5F37" w:rsidRPr="00E85951" w14:paraId="3DE4B827" w14:textId="77777777" w:rsidTr="005952F5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BBD85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27221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 xml:space="preserve">Undistributed profit after tax of </w:t>
            </w:r>
            <w:r w:rsidR="005E5999" w:rsidRPr="00E8595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E85951">
              <w:rPr>
                <w:rFonts w:ascii="Arial" w:hAnsi="Arial" w:cs="Arial"/>
                <w:color w:val="010000"/>
                <w:sz w:val="20"/>
              </w:rPr>
              <w:t>current period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13B86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5,280,000,000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54DDC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14,317,759,690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8C404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6,240,000,000</w:t>
            </w:r>
          </w:p>
        </w:tc>
      </w:tr>
      <w:tr w:rsidR="00CE5F37" w:rsidRPr="00E85951" w14:paraId="48917B15" w14:textId="77777777" w:rsidTr="005952F5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97CD3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65728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Bonus and welfare fund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A95AF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2,312,000,000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D5A08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5,313,000,000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39754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2,260,000,000</w:t>
            </w:r>
          </w:p>
        </w:tc>
      </w:tr>
      <w:tr w:rsidR="00CE5F37" w:rsidRPr="00E85951" w14:paraId="2A6CE06A" w14:textId="77777777" w:rsidTr="005952F5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BC15A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562AC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Manager bonus fund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75D8A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648,000,000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C571D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907,000,000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6E786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702,000,000</w:t>
            </w:r>
          </w:p>
        </w:tc>
      </w:tr>
      <w:tr w:rsidR="00CE5F37" w:rsidRPr="00E85951" w14:paraId="7ABE6471" w14:textId="77777777" w:rsidTr="005952F5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A0917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B953F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935DA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2,320,000,000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3CD3A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35,200,000,000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50C87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3,278,000,000</w:t>
            </w:r>
          </w:p>
        </w:tc>
      </w:tr>
      <w:tr w:rsidR="00CE5F37" w:rsidRPr="00E85951" w14:paraId="43ABE5C6" w14:textId="77777777" w:rsidTr="005952F5"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0353D" w14:textId="77777777" w:rsidR="00CE5F37" w:rsidRPr="00E85951" w:rsidRDefault="00CE5F37" w:rsidP="00E463E8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75E77" w14:textId="4EEAE954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 xml:space="preserve">Dividend/ charter capital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FFE6F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5.800%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09DE5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88.000%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65586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8.195%</w:t>
            </w:r>
          </w:p>
        </w:tc>
      </w:tr>
      <w:tr w:rsidR="00CE5F37" w:rsidRPr="00E85951" w14:paraId="77624A1B" w14:textId="77777777" w:rsidTr="005952F5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AAC94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B86D4" w14:textId="77777777" w:rsidR="00CE5F37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Remaining undistributed profit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03D6B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119DF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29,097,759,690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A5E58" w14:textId="77777777" w:rsidR="00CE5F37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29,097,759,690</w:t>
            </w:r>
          </w:p>
        </w:tc>
      </w:tr>
    </w:tbl>
    <w:p w14:paraId="10C1DCA1" w14:textId="2A52C211" w:rsidR="00CE5F37" w:rsidRPr="00E85951" w:rsidRDefault="00892739" w:rsidP="00AF4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Approve authorizing transactions with affiliated persons </w:t>
      </w:r>
      <w:r w:rsidR="00E463E8">
        <w:rPr>
          <w:rFonts w:ascii="Arial" w:hAnsi="Arial" w:cs="Arial"/>
          <w:color w:val="010000"/>
          <w:sz w:val="20"/>
        </w:rPr>
        <w:t xml:space="preserve">in </w:t>
      </w:r>
      <w:r w:rsidRPr="00E85951">
        <w:rPr>
          <w:rFonts w:ascii="Arial" w:hAnsi="Arial" w:cs="Arial"/>
          <w:color w:val="010000"/>
          <w:sz w:val="20"/>
        </w:rPr>
        <w:t>2024.</w:t>
      </w:r>
    </w:p>
    <w:p w14:paraId="7839D8D6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The Annual General Meeting of Shareholders authorizes the Board of Directors of </w:t>
      </w:r>
      <w:proofErr w:type="spellStart"/>
      <w:r w:rsidRPr="00E85951">
        <w:rPr>
          <w:rFonts w:ascii="Arial" w:hAnsi="Arial" w:cs="Arial"/>
          <w:color w:val="010000"/>
          <w:sz w:val="20"/>
        </w:rPr>
        <w:t>Binh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951">
        <w:rPr>
          <w:rFonts w:ascii="Arial" w:hAnsi="Arial" w:cs="Arial"/>
          <w:color w:val="010000"/>
          <w:sz w:val="20"/>
        </w:rPr>
        <w:t>Dinh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Food Joint Stock Company to decide on contracts or transactions within the jurisdiction of the Annual General Meeting of Shareholders under Clause 3 of Article </w:t>
      </w:r>
      <w:r w:rsidR="00EA37BE" w:rsidRPr="00E85951">
        <w:rPr>
          <w:rFonts w:ascii="Arial" w:hAnsi="Arial" w:cs="Arial"/>
          <w:color w:val="010000"/>
          <w:sz w:val="20"/>
        </w:rPr>
        <w:t>167 of</w:t>
      </w:r>
      <w:r w:rsidRPr="00E85951">
        <w:rPr>
          <w:rFonts w:ascii="Arial" w:hAnsi="Arial" w:cs="Arial"/>
          <w:color w:val="010000"/>
          <w:sz w:val="20"/>
        </w:rPr>
        <w:t xml:space="preserve"> </w:t>
      </w:r>
      <w:r w:rsidR="005E5999" w:rsidRPr="00E85951">
        <w:rPr>
          <w:rFonts w:ascii="Arial" w:hAnsi="Arial" w:cs="Arial"/>
          <w:color w:val="010000"/>
          <w:sz w:val="20"/>
        </w:rPr>
        <w:t xml:space="preserve">Law on Enterprises </w:t>
      </w:r>
      <w:r w:rsidRPr="00E85951">
        <w:rPr>
          <w:rFonts w:ascii="Arial" w:hAnsi="Arial" w:cs="Arial"/>
          <w:color w:val="010000"/>
          <w:sz w:val="20"/>
        </w:rPr>
        <w:t xml:space="preserve">No. 59/2020/QH14 for contracts or transactions between the Company and </w:t>
      </w:r>
      <w:r w:rsidR="005E5999" w:rsidRPr="00E85951">
        <w:rPr>
          <w:rFonts w:ascii="Arial" w:hAnsi="Arial" w:cs="Arial"/>
          <w:color w:val="010000"/>
          <w:sz w:val="20"/>
        </w:rPr>
        <w:t xml:space="preserve">affiliated persons </w:t>
      </w:r>
      <w:r w:rsidRPr="00E85951">
        <w:rPr>
          <w:rFonts w:ascii="Arial" w:hAnsi="Arial" w:cs="Arial"/>
          <w:color w:val="010000"/>
          <w:sz w:val="20"/>
        </w:rPr>
        <w:t>under the jurisdiction of the Annual General Meeting of Shareholders.</w:t>
      </w:r>
    </w:p>
    <w:p w14:paraId="5E408D77" w14:textId="6025B5FE" w:rsidR="00CE5F37" w:rsidRPr="00E85951" w:rsidRDefault="005E5999" w:rsidP="00AF4B1C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04"/>
        </w:tabs>
        <w:spacing w:after="120" w:line="360" w:lineRule="auto"/>
        <w:ind w:left="0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lastRenderedPageBreak/>
        <w:t xml:space="preserve">Approve the Charter of Organization and Operation </w:t>
      </w:r>
      <w:r w:rsidR="00892739" w:rsidRPr="00E85951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="00892739" w:rsidRPr="00E85951">
        <w:rPr>
          <w:rFonts w:ascii="Arial" w:hAnsi="Arial" w:cs="Arial"/>
          <w:color w:val="010000"/>
          <w:sz w:val="20"/>
        </w:rPr>
        <w:t>Binh</w:t>
      </w:r>
      <w:proofErr w:type="spellEnd"/>
      <w:r w:rsidR="00892739" w:rsidRPr="00E859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92739" w:rsidRPr="00E85951">
        <w:rPr>
          <w:rFonts w:ascii="Arial" w:hAnsi="Arial" w:cs="Arial"/>
          <w:color w:val="010000"/>
          <w:sz w:val="20"/>
        </w:rPr>
        <w:t>Dinh</w:t>
      </w:r>
      <w:proofErr w:type="spellEnd"/>
      <w:r w:rsidR="00892739" w:rsidRPr="00E85951">
        <w:rPr>
          <w:rFonts w:ascii="Arial" w:hAnsi="Arial" w:cs="Arial"/>
          <w:color w:val="010000"/>
          <w:sz w:val="20"/>
        </w:rPr>
        <w:t xml:space="preserve"> Food Joint Stock Company, and other regulations under the jurisdiction of the Annual General Meeting of Shareholders.</w:t>
      </w:r>
    </w:p>
    <w:p w14:paraId="6D7FF4A8" w14:textId="5E0F16E9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Based on the provisions of </w:t>
      </w:r>
      <w:r w:rsidR="005E5999" w:rsidRPr="00E85951">
        <w:rPr>
          <w:rFonts w:ascii="Arial" w:hAnsi="Arial" w:cs="Arial"/>
          <w:color w:val="010000"/>
          <w:sz w:val="20"/>
        </w:rPr>
        <w:t xml:space="preserve">Law on Enterprises </w:t>
      </w:r>
      <w:r w:rsidRPr="00E85951">
        <w:rPr>
          <w:rFonts w:ascii="Arial" w:hAnsi="Arial" w:cs="Arial"/>
          <w:color w:val="010000"/>
          <w:sz w:val="20"/>
        </w:rPr>
        <w:t>No. 59/2020/QH14 approved by the National Assembly of the Socialist Republic of Vietnam on June 17, 2020, the Board of Directors proposes the following</w:t>
      </w:r>
      <w:r w:rsidR="008B70A2" w:rsidRPr="00E85951">
        <w:rPr>
          <w:rFonts w:ascii="Arial" w:hAnsi="Arial" w:cs="Arial"/>
          <w:color w:val="010000"/>
          <w:sz w:val="20"/>
        </w:rPr>
        <w:t xml:space="preserve"> documents for approval</w:t>
      </w:r>
      <w:r w:rsidRPr="00E85951">
        <w:rPr>
          <w:rFonts w:ascii="Arial" w:hAnsi="Arial" w:cs="Arial"/>
          <w:color w:val="010000"/>
          <w:sz w:val="20"/>
        </w:rPr>
        <w:t>:</w:t>
      </w:r>
    </w:p>
    <w:p w14:paraId="60D9B67C" w14:textId="77777777" w:rsidR="00CE5F37" w:rsidRPr="00E85951" w:rsidRDefault="00892739" w:rsidP="00AF4B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4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Draft </w:t>
      </w:r>
      <w:r w:rsidR="005E5999" w:rsidRPr="00E85951">
        <w:rPr>
          <w:rFonts w:ascii="Arial" w:hAnsi="Arial" w:cs="Arial"/>
          <w:color w:val="010000"/>
          <w:sz w:val="20"/>
        </w:rPr>
        <w:t xml:space="preserve">Charter of Organization and Operation </w:t>
      </w:r>
      <w:r w:rsidRPr="00E85951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E85951">
        <w:rPr>
          <w:rFonts w:ascii="Arial" w:hAnsi="Arial" w:cs="Arial"/>
          <w:color w:val="010000"/>
          <w:sz w:val="20"/>
        </w:rPr>
        <w:t>Binh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951">
        <w:rPr>
          <w:rFonts w:ascii="Arial" w:hAnsi="Arial" w:cs="Arial"/>
          <w:color w:val="010000"/>
          <w:sz w:val="20"/>
        </w:rPr>
        <w:t>Dinh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Food Joint Stock Company;</w:t>
      </w:r>
    </w:p>
    <w:p w14:paraId="1B3A8ACA" w14:textId="7DC9B120" w:rsidR="00CE5F37" w:rsidRPr="00E85951" w:rsidRDefault="00892739" w:rsidP="00AF4B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0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Draft of the Internal Regulations on corporate governance</w:t>
      </w:r>
      <w:r w:rsidR="008B70A2" w:rsidRPr="00E85951">
        <w:rPr>
          <w:rFonts w:ascii="Arial" w:hAnsi="Arial" w:cs="Arial"/>
          <w:color w:val="010000"/>
          <w:sz w:val="20"/>
        </w:rPr>
        <w:t>;</w:t>
      </w:r>
    </w:p>
    <w:p w14:paraId="2FEB35C2" w14:textId="77777777" w:rsidR="00CE5F37" w:rsidRPr="00E85951" w:rsidRDefault="00892739" w:rsidP="00AF4B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0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Draft Regulation on the operation of the Board of Directors;</w:t>
      </w:r>
    </w:p>
    <w:p w14:paraId="6D7A2D2A" w14:textId="77777777" w:rsidR="00CE5F37" w:rsidRPr="00E85951" w:rsidRDefault="00892739" w:rsidP="00AF4B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0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Draft Regulation on the operation of the Supervisory Board.</w:t>
      </w:r>
    </w:p>
    <w:p w14:paraId="03238E5C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‎‎Article 6. Selection of an audit company for the Financial Statement</w:t>
      </w:r>
      <w:r w:rsidR="005E5999" w:rsidRPr="00E85951">
        <w:rPr>
          <w:rFonts w:ascii="Arial" w:hAnsi="Arial" w:cs="Arial"/>
          <w:color w:val="010000"/>
          <w:sz w:val="20"/>
        </w:rPr>
        <w:t>s</w:t>
      </w:r>
      <w:r w:rsidRPr="00E85951">
        <w:rPr>
          <w:rFonts w:ascii="Arial" w:hAnsi="Arial" w:cs="Arial"/>
          <w:color w:val="010000"/>
          <w:sz w:val="20"/>
        </w:rPr>
        <w:t xml:space="preserve"> 2024;</w:t>
      </w:r>
    </w:p>
    <w:p w14:paraId="06191AB2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Approve the selection of reputable </w:t>
      </w:r>
      <w:r w:rsidR="00E941B6" w:rsidRPr="00E85951">
        <w:rPr>
          <w:rFonts w:ascii="Arial" w:hAnsi="Arial" w:cs="Arial"/>
          <w:color w:val="010000"/>
          <w:sz w:val="20"/>
        </w:rPr>
        <w:t xml:space="preserve">and qualified </w:t>
      </w:r>
      <w:r w:rsidRPr="00E85951">
        <w:rPr>
          <w:rFonts w:ascii="Arial" w:hAnsi="Arial" w:cs="Arial"/>
          <w:color w:val="010000"/>
          <w:sz w:val="20"/>
        </w:rPr>
        <w:t>audit companies for the Financial Statements 2024; authorizing the General Manager of the Company to sign the audit contract.</w:t>
      </w:r>
    </w:p>
    <w:p w14:paraId="0C21C5C8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List of selected audit companies:</w:t>
      </w:r>
    </w:p>
    <w:p w14:paraId="06AD4D16" w14:textId="77777777" w:rsidR="00CE5F37" w:rsidRPr="00E85951" w:rsidRDefault="00892739" w:rsidP="00AF4B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KPMG Limited.</w:t>
      </w:r>
    </w:p>
    <w:p w14:paraId="4172FB7E" w14:textId="77777777" w:rsidR="00CE5F37" w:rsidRPr="00E85951" w:rsidRDefault="00892739" w:rsidP="00AF4B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3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AASC Auditing Firm Company Limited</w:t>
      </w:r>
    </w:p>
    <w:p w14:paraId="7326F40B" w14:textId="77777777" w:rsidR="00E941B6" w:rsidRPr="00E85951" w:rsidRDefault="00E941B6" w:rsidP="00AF4B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1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Southern Auditing &amp; Accounting Financial Consulting Services Company Limited</w:t>
      </w:r>
      <w:r w:rsidRPr="00E85951">
        <w:rPr>
          <w:rFonts w:ascii="Arial" w:hAnsi="Arial" w:cs="Arial"/>
          <w:color w:val="010000"/>
          <w:sz w:val="20"/>
        </w:rPr>
        <w:tab/>
        <w:t xml:space="preserve"> </w:t>
      </w:r>
    </w:p>
    <w:p w14:paraId="386D2E67" w14:textId="77777777" w:rsidR="00CE5F37" w:rsidRPr="00E85951" w:rsidRDefault="00892739" w:rsidP="00AF4B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1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CPA Vietnam Auditing Company Limited</w:t>
      </w:r>
    </w:p>
    <w:p w14:paraId="4F99E82E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‎‎Article 7. Approve the dismissal of Mr.</w:t>
      </w:r>
      <w:r w:rsidR="00E941B6" w:rsidRPr="00E85951">
        <w:rPr>
          <w:rFonts w:ascii="Arial" w:hAnsi="Arial" w:cs="Arial"/>
          <w:color w:val="010000"/>
          <w:sz w:val="20"/>
        </w:rPr>
        <w:t xml:space="preserve"> </w:t>
      </w:r>
      <w:r w:rsidRPr="00E85951">
        <w:rPr>
          <w:rFonts w:ascii="Arial" w:hAnsi="Arial" w:cs="Arial"/>
          <w:color w:val="010000"/>
          <w:sz w:val="20"/>
        </w:rPr>
        <w:t xml:space="preserve">Le </w:t>
      </w:r>
      <w:proofErr w:type="spellStart"/>
      <w:r w:rsidRPr="00E85951">
        <w:rPr>
          <w:rFonts w:ascii="Arial" w:hAnsi="Arial" w:cs="Arial"/>
          <w:color w:val="010000"/>
          <w:sz w:val="20"/>
        </w:rPr>
        <w:t>Phat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Tai, terminating his position as a Member of the Board of Directors, </w:t>
      </w:r>
      <w:r w:rsidR="00E941B6" w:rsidRPr="00E85951">
        <w:rPr>
          <w:rFonts w:ascii="Arial" w:hAnsi="Arial" w:cs="Arial"/>
          <w:color w:val="010000"/>
          <w:sz w:val="20"/>
        </w:rPr>
        <w:t xml:space="preserve">and </w:t>
      </w:r>
      <w:r w:rsidRPr="00E85951">
        <w:rPr>
          <w:rFonts w:ascii="Arial" w:hAnsi="Arial" w:cs="Arial"/>
          <w:color w:val="010000"/>
          <w:sz w:val="20"/>
        </w:rPr>
        <w:t xml:space="preserve">Chair of the Board of Directors of </w:t>
      </w:r>
      <w:proofErr w:type="spellStart"/>
      <w:r w:rsidRPr="00E85951">
        <w:rPr>
          <w:rFonts w:ascii="Arial" w:hAnsi="Arial" w:cs="Arial"/>
          <w:color w:val="010000"/>
          <w:sz w:val="20"/>
        </w:rPr>
        <w:t>Binh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951">
        <w:rPr>
          <w:rFonts w:ascii="Arial" w:hAnsi="Arial" w:cs="Arial"/>
          <w:color w:val="010000"/>
          <w:sz w:val="20"/>
        </w:rPr>
        <w:t>Dinh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Food Joint Stock Company for the term 2023-2027.</w:t>
      </w:r>
    </w:p>
    <w:p w14:paraId="5E6D007B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‎‎Article 8. Approve the election of additional members of the Board of Directors for the term 2023-2027.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3"/>
        <w:gridCol w:w="8314"/>
      </w:tblGrid>
      <w:tr w:rsidR="00892739" w:rsidRPr="00E85951" w14:paraId="527E23EE" w14:textId="77777777" w:rsidTr="00E85951">
        <w:tc>
          <w:tcPr>
            <w:tcW w:w="390" w:type="pct"/>
            <w:shd w:val="clear" w:color="auto" w:fill="auto"/>
            <w:vAlign w:val="center"/>
          </w:tcPr>
          <w:p w14:paraId="16B84B5F" w14:textId="77777777" w:rsidR="00892739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610" w:type="pct"/>
            <w:shd w:val="clear" w:color="auto" w:fill="auto"/>
            <w:vAlign w:val="center"/>
          </w:tcPr>
          <w:p w14:paraId="37304970" w14:textId="77777777" w:rsidR="00892739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892739" w:rsidRPr="00E85951" w14:paraId="4B7B6F81" w14:textId="77777777" w:rsidTr="00E85951">
        <w:tc>
          <w:tcPr>
            <w:tcW w:w="390" w:type="pct"/>
            <w:shd w:val="clear" w:color="auto" w:fill="auto"/>
            <w:vAlign w:val="center"/>
          </w:tcPr>
          <w:p w14:paraId="4C353DEC" w14:textId="77777777" w:rsidR="00892739" w:rsidRPr="00E85951" w:rsidRDefault="00892739" w:rsidP="00E4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610" w:type="pct"/>
            <w:shd w:val="clear" w:color="auto" w:fill="auto"/>
            <w:vAlign w:val="center"/>
          </w:tcPr>
          <w:p w14:paraId="3195661F" w14:textId="77777777" w:rsidR="00892739" w:rsidRPr="00E85951" w:rsidRDefault="00892739" w:rsidP="00AF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5951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E85951">
              <w:rPr>
                <w:rFonts w:ascii="Arial" w:hAnsi="Arial" w:cs="Arial"/>
                <w:color w:val="010000"/>
                <w:sz w:val="20"/>
              </w:rPr>
              <w:t>Vuong</w:t>
            </w:r>
            <w:proofErr w:type="spellEnd"/>
            <w:r w:rsidRPr="00E8595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85951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</w:p>
        </w:tc>
      </w:tr>
    </w:tbl>
    <w:p w14:paraId="59718333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‎‎Article 9. Terms of enforcement</w:t>
      </w:r>
    </w:p>
    <w:p w14:paraId="72C32579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>This General Mandate takes effect from the date of its signing.</w:t>
      </w:r>
    </w:p>
    <w:p w14:paraId="43818D04" w14:textId="77777777" w:rsidR="00CE5F37" w:rsidRPr="00E85951" w:rsidRDefault="00892739" w:rsidP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951">
        <w:rPr>
          <w:rFonts w:ascii="Arial" w:hAnsi="Arial" w:cs="Arial"/>
          <w:color w:val="010000"/>
          <w:sz w:val="20"/>
        </w:rPr>
        <w:t xml:space="preserve">Members of the Board of Directors, the Board of Management, and </w:t>
      </w:r>
      <w:r w:rsidR="00E941B6" w:rsidRPr="00E85951">
        <w:rPr>
          <w:rFonts w:ascii="Arial" w:hAnsi="Arial" w:cs="Arial"/>
          <w:color w:val="010000"/>
          <w:sz w:val="20"/>
        </w:rPr>
        <w:t xml:space="preserve">the </w:t>
      </w:r>
      <w:r w:rsidRPr="00E85951">
        <w:rPr>
          <w:rFonts w:ascii="Arial" w:hAnsi="Arial" w:cs="Arial"/>
          <w:color w:val="010000"/>
          <w:sz w:val="20"/>
        </w:rPr>
        <w:t xml:space="preserve">Supervisory Board are responsible for implementing the tasks assigned by the Annual General Meeting 2024 of Shareholders of </w:t>
      </w:r>
      <w:proofErr w:type="spellStart"/>
      <w:r w:rsidRPr="00E85951">
        <w:rPr>
          <w:rFonts w:ascii="Arial" w:hAnsi="Arial" w:cs="Arial"/>
          <w:color w:val="010000"/>
          <w:sz w:val="20"/>
        </w:rPr>
        <w:t>Binh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951">
        <w:rPr>
          <w:rFonts w:ascii="Arial" w:hAnsi="Arial" w:cs="Arial"/>
          <w:color w:val="010000"/>
          <w:sz w:val="20"/>
        </w:rPr>
        <w:t>Dinh</w:t>
      </w:r>
      <w:proofErr w:type="spellEnd"/>
      <w:r w:rsidRPr="00E85951">
        <w:rPr>
          <w:rFonts w:ascii="Arial" w:hAnsi="Arial" w:cs="Arial"/>
          <w:color w:val="010000"/>
          <w:sz w:val="20"/>
        </w:rPr>
        <w:t xml:space="preserve"> Food Joint Stock Company</w:t>
      </w:r>
      <w:r w:rsidR="005340A5" w:rsidRPr="00E85951">
        <w:rPr>
          <w:rFonts w:ascii="Arial" w:hAnsi="Arial" w:cs="Arial"/>
          <w:color w:val="010000"/>
          <w:sz w:val="20"/>
        </w:rPr>
        <w:t xml:space="preserve"> </w:t>
      </w:r>
      <w:r w:rsidRPr="00E85951">
        <w:rPr>
          <w:rFonts w:ascii="Arial" w:hAnsi="Arial" w:cs="Arial"/>
          <w:color w:val="010000"/>
          <w:sz w:val="20"/>
        </w:rPr>
        <w:t>in this General Mandate, ensuring the benefits of the Company's shareholders and compliance with legal regulations.</w:t>
      </w:r>
    </w:p>
    <w:p w14:paraId="4E879F5E" w14:textId="77777777" w:rsidR="00AF4B1C" w:rsidRPr="00E85951" w:rsidRDefault="00AF4B1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F4B1C" w:rsidRPr="00E85951" w:rsidSect="005952F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789D"/>
    <w:multiLevelType w:val="multilevel"/>
    <w:tmpl w:val="FF9825E8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304FC6"/>
    <w:multiLevelType w:val="hybridMultilevel"/>
    <w:tmpl w:val="127EA7F2"/>
    <w:lvl w:ilvl="0" w:tplc="4F9A1E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1548A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ED43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195"/>
    <w:multiLevelType w:val="multilevel"/>
    <w:tmpl w:val="9B8602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B26051"/>
    <w:multiLevelType w:val="multilevel"/>
    <w:tmpl w:val="82F8CFE8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ind w:left="6521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B23299C"/>
    <w:multiLevelType w:val="multilevel"/>
    <w:tmpl w:val="2598B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E10C06"/>
    <w:multiLevelType w:val="multilevel"/>
    <w:tmpl w:val="FE26B472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BF762BD"/>
    <w:multiLevelType w:val="multilevel"/>
    <w:tmpl w:val="79622A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1C87EE2"/>
    <w:multiLevelType w:val="multilevel"/>
    <w:tmpl w:val="012E98A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CA54A9D"/>
    <w:multiLevelType w:val="multilevel"/>
    <w:tmpl w:val="4928E9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6EF0BD8"/>
    <w:multiLevelType w:val="multilevel"/>
    <w:tmpl w:val="1592F6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37"/>
    <w:rsid w:val="00085B40"/>
    <w:rsid w:val="005340A5"/>
    <w:rsid w:val="005952F5"/>
    <w:rsid w:val="00595F37"/>
    <w:rsid w:val="005D23EF"/>
    <w:rsid w:val="005E5999"/>
    <w:rsid w:val="006B0275"/>
    <w:rsid w:val="00892739"/>
    <w:rsid w:val="008B70A2"/>
    <w:rsid w:val="00AF4B1C"/>
    <w:rsid w:val="00CE5F37"/>
    <w:rsid w:val="00E463E8"/>
    <w:rsid w:val="00E85951"/>
    <w:rsid w:val="00E941B6"/>
    <w:rsid w:val="00E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251E7"/>
  <w15:docId w15:val="{877864C8-7261-4831-9D5F-D2BF6BA6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62" w:lineRule="auto"/>
      <w:ind w:firstLine="6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620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442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Ye1mnAT6Ni452uiz0HFMZk2GWA==">CgMxLjA4AHIhMUJvVFRid1otWEFZN3NxaTlKbnpWQ1JoZmNDNWdFRW5T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926</Words>
  <Characters>5190</Characters>
  <Application>Microsoft Office Word</Application>
  <DocSecurity>0</DocSecurity>
  <Lines>324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2024-05-14T03:27:00Z</dcterms:created>
  <dcterms:modified xsi:type="dcterms:W3CDTF">2024-05-16T06:50:00Z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7fb75a4e7a64ef6f73050fe4fc834e3bafbc45133be496e77bc51f7d4f328788</vt:lpwstr>
  </property>
</Properties>
</file>