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9772" w14:textId="2F6826B5" w:rsidR="00E341D4" w:rsidRPr="007C1F29" w:rsidRDefault="007627CC" w:rsidP="00DB0F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1F29">
        <w:rPr>
          <w:rFonts w:ascii="Arial" w:hAnsi="Arial" w:cs="Arial"/>
          <w:b/>
          <w:color w:val="010000"/>
          <w:sz w:val="20"/>
        </w:rPr>
        <w:t>CCT:</w:t>
      </w:r>
      <w:r w:rsidR="002E3FDE" w:rsidRPr="007C1F29">
        <w:rPr>
          <w:rFonts w:ascii="Arial" w:hAnsi="Arial" w:cs="Arial"/>
          <w:b/>
          <w:color w:val="010000"/>
          <w:sz w:val="20"/>
        </w:rPr>
        <w:t xml:space="preserve"> Explanation </w:t>
      </w:r>
      <w:r w:rsidR="00DB0F30">
        <w:rPr>
          <w:rFonts w:ascii="Arial" w:hAnsi="Arial" w:cs="Arial"/>
          <w:b/>
          <w:color w:val="010000"/>
          <w:sz w:val="20"/>
        </w:rPr>
        <w:t>of</w:t>
      </w:r>
      <w:r w:rsidR="002E3FDE" w:rsidRPr="007C1F29">
        <w:rPr>
          <w:rFonts w:ascii="Arial" w:hAnsi="Arial" w:cs="Arial"/>
          <w:b/>
          <w:color w:val="010000"/>
          <w:sz w:val="20"/>
        </w:rPr>
        <w:t xml:space="preserve"> t</w:t>
      </w:r>
      <w:r w:rsidRPr="007C1F29">
        <w:rPr>
          <w:rFonts w:ascii="Arial" w:hAnsi="Arial" w:cs="Arial"/>
          <w:b/>
          <w:color w:val="010000"/>
          <w:sz w:val="20"/>
        </w:rPr>
        <w:t xml:space="preserve">he Financial Statements Q1/2024 </w:t>
      </w:r>
    </w:p>
    <w:p w14:paraId="3D84AD7B" w14:textId="45153DAD" w:rsidR="00E341D4" w:rsidRPr="007C1F29" w:rsidRDefault="007627CC" w:rsidP="00DB0F3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1F29">
        <w:rPr>
          <w:rFonts w:ascii="Arial" w:hAnsi="Arial" w:cs="Arial"/>
          <w:color w:val="010000"/>
          <w:sz w:val="20"/>
        </w:rPr>
        <w:t xml:space="preserve">On April 15, 2024, Can </w:t>
      </w:r>
      <w:proofErr w:type="spellStart"/>
      <w:r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Port Joint Stock Company announced Official Dispatch No. 159/CCT-TCKT on explanation related to the Financial Statements Q1/2024 compared to</w:t>
      </w:r>
      <w:r w:rsidR="002E3FDE" w:rsidRPr="007C1F29">
        <w:rPr>
          <w:rFonts w:ascii="Arial" w:hAnsi="Arial" w:cs="Arial"/>
          <w:color w:val="010000"/>
          <w:sz w:val="20"/>
        </w:rPr>
        <w:t xml:space="preserve"> that of</w:t>
      </w:r>
      <w:r w:rsidRPr="007C1F29">
        <w:rPr>
          <w:rFonts w:ascii="Arial" w:hAnsi="Arial" w:cs="Arial"/>
          <w:color w:val="010000"/>
          <w:sz w:val="20"/>
        </w:rPr>
        <w:t xml:space="preserve"> Q1/2023 as follows:</w:t>
      </w:r>
    </w:p>
    <w:p w14:paraId="6E4980E4" w14:textId="24BCFE71" w:rsidR="00E341D4" w:rsidRPr="007C1F29" w:rsidRDefault="007627CC" w:rsidP="00DB0F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1F29">
        <w:rPr>
          <w:rFonts w:ascii="Arial" w:hAnsi="Arial" w:cs="Arial"/>
          <w:color w:val="010000"/>
          <w:sz w:val="20"/>
        </w:rPr>
        <w:t>In the Combined Financial Statements: Results on profit after tax in the Financial Statements Q1/2024 earns VND 751</w:t>
      </w:r>
      <w:r w:rsidR="00002D5B" w:rsidRPr="007C1F29">
        <w:rPr>
          <w:rFonts w:ascii="Arial" w:hAnsi="Arial" w:cs="Arial"/>
          <w:color w:val="010000"/>
          <w:sz w:val="20"/>
        </w:rPr>
        <w:t>,</w:t>
      </w:r>
      <w:r w:rsidRPr="007C1F29">
        <w:rPr>
          <w:rFonts w:ascii="Arial" w:hAnsi="Arial" w:cs="Arial"/>
          <w:color w:val="010000"/>
          <w:sz w:val="20"/>
        </w:rPr>
        <w:t>220</w:t>
      </w:r>
      <w:r w:rsidR="00002D5B" w:rsidRPr="007C1F29">
        <w:rPr>
          <w:rFonts w:ascii="Arial" w:hAnsi="Arial" w:cs="Arial"/>
          <w:color w:val="010000"/>
          <w:sz w:val="20"/>
        </w:rPr>
        <w:t>,</w:t>
      </w:r>
      <w:r w:rsidRPr="007C1F29">
        <w:rPr>
          <w:rFonts w:ascii="Arial" w:hAnsi="Arial" w:cs="Arial"/>
          <w:color w:val="010000"/>
          <w:sz w:val="20"/>
        </w:rPr>
        <w:t>483 (</w:t>
      </w:r>
      <w:r w:rsidR="00002D5B" w:rsidRPr="007C1F29">
        <w:rPr>
          <w:rFonts w:ascii="Arial" w:hAnsi="Arial" w:cs="Arial"/>
          <w:color w:val="010000"/>
          <w:sz w:val="20"/>
        </w:rPr>
        <w:t xml:space="preserve">an </w:t>
      </w:r>
      <w:r w:rsidRPr="007C1F29">
        <w:rPr>
          <w:rFonts w:ascii="Arial" w:hAnsi="Arial" w:cs="Arial"/>
          <w:color w:val="010000"/>
          <w:sz w:val="20"/>
        </w:rPr>
        <w:t xml:space="preserve">increase </w:t>
      </w:r>
      <w:r w:rsidR="00002D5B" w:rsidRPr="007C1F29">
        <w:rPr>
          <w:rFonts w:ascii="Arial" w:hAnsi="Arial" w:cs="Arial"/>
          <w:color w:val="010000"/>
          <w:sz w:val="20"/>
        </w:rPr>
        <w:t>of 1.</w:t>
      </w:r>
      <w:r w:rsidRPr="007C1F29">
        <w:rPr>
          <w:rFonts w:ascii="Arial" w:hAnsi="Arial" w:cs="Arial"/>
          <w:color w:val="010000"/>
          <w:sz w:val="20"/>
        </w:rPr>
        <w:t>226% compared to</w:t>
      </w:r>
      <w:r w:rsidR="00002D5B" w:rsidRPr="007C1F29">
        <w:rPr>
          <w:rFonts w:ascii="Arial" w:hAnsi="Arial" w:cs="Arial"/>
          <w:color w:val="010000"/>
          <w:sz w:val="20"/>
        </w:rPr>
        <w:t xml:space="preserve"> that of</w:t>
      </w:r>
      <w:r w:rsidRPr="007C1F29">
        <w:rPr>
          <w:rFonts w:ascii="Arial" w:hAnsi="Arial" w:cs="Arial"/>
          <w:color w:val="010000"/>
          <w:sz w:val="20"/>
        </w:rPr>
        <w:t xml:space="preserve"> the same quarter of 2023).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133"/>
        <w:gridCol w:w="1912"/>
        <w:gridCol w:w="1971"/>
        <w:gridCol w:w="1683"/>
        <w:gridCol w:w="1318"/>
      </w:tblGrid>
      <w:tr w:rsidR="00E341D4" w:rsidRPr="007C1F29" w14:paraId="4D751CF0" w14:textId="77777777" w:rsidTr="007C1F29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2A903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A8712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Q1/2024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C931C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Q1/2023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45D48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B7144" w14:textId="59AA5AFB" w:rsidR="00E341D4" w:rsidRPr="007C1F29" w:rsidRDefault="00DB0F30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Rate (</w:t>
            </w:r>
            <w:r w:rsidR="007627CC" w:rsidRPr="007C1F29">
              <w:rPr>
                <w:rFonts w:ascii="Arial" w:hAnsi="Arial" w:cs="Arial"/>
                <w:color w:val="010000"/>
                <w:sz w:val="20"/>
              </w:rPr>
              <w:t>%)</w:t>
            </w:r>
          </w:p>
        </w:tc>
      </w:tr>
      <w:tr w:rsidR="00E341D4" w:rsidRPr="007C1F29" w14:paraId="7C704FF0" w14:textId="77777777" w:rsidTr="007C1F29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3F7DC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87023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2D7EA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206C0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(4)=(2)-(3)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9A5F4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(5) = (4)/(3)</w:t>
            </w:r>
          </w:p>
        </w:tc>
      </w:tr>
      <w:tr w:rsidR="00E341D4" w:rsidRPr="007C1F29" w14:paraId="20D79FAD" w14:textId="77777777" w:rsidTr="007C1F29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7A345" w14:textId="2A4A1B06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F7C49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34,918,228,651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FDDDA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35,664,323,266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ECC2A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-746,094,615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B242C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-2%</w:t>
            </w:r>
          </w:p>
        </w:tc>
      </w:tr>
      <w:tr w:rsidR="00E341D4" w:rsidRPr="007C1F29" w14:paraId="07307F25" w14:textId="77777777" w:rsidTr="007C1F29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574B6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B1AD2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34,167,008,168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0C6AC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35,607,664,789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2B344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-1,440,656,621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3F812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-4%</w:t>
            </w:r>
          </w:p>
        </w:tc>
      </w:tr>
      <w:tr w:rsidR="00E341D4" w:rsidRPr="007C1F29" w14:paraId="76E0153A" w14:textId="77777777" w:rsidTr="007C1F29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A6630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F1EAC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751,220,483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88127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56,658,477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F98BF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694,562,006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3C095" w14:textId="3E86A172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1</w:t>
            </w:r>
            <w:r w:rsidR="00002D5B" w:rsidRPr="007C1F29">
              <w:rPr>
                <w:rFonts w:ascii="Arial" w:hAnsi="Arial" w:cs="Arial"/>
                <w:color w:val="010000"/>
                <w:sz w:val="20"/>
              </w:rPr>
              <w:t>.</w:t>
            </w:r>
            <w:r w:rsidRPr="007C1F29">
              <w:rPr>
                <w:rFonts w:ascii="Arial" w:hAnsi="Arial" w:cs="Arial"/>
                <w:color w:val="010000"/>
                <w:sz w:val="20"/>
              </w:rPr>
              <w:t>226%</w:t>
            </w:r>
          </w:p>
        </w:tc>
      </w:tr>
      <w:tr w:rsidR="00E341D4" w:rsidRPr="007C1F29" w14:paraId="386330AD" w14:textId="77777777" w:rsidTr="007C1F29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B5114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21B40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751,220,483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C1575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56,658,477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FED9D" w14:textId="77777777" w:rsidR="00E341D4" w:rsidRPr="007C1F29" w:rsidRDefault="007627CC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694,562,006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B7E25" w14:textId="3B1E9C1B" w:rsidR="00E341D4" w:rsidRPr="007C1F29" w:rsidRDefault="00002D5B" w:rsidP="00DB0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F29">
              <w:rPr>
                <w:rFonts w:ascii="Arial" w:hAnsi="Arial" w:cs="Arial"/>
                <w:color w:val="010000"/>
                <w:sz w:val="20"/>
              </w:rPr>
              <w:t>1.</w:t>
            </w:r>
            <w:r w:rsidR="007627CC" w:rsidRPr="007C1F29">
              <w:rPr>
                <w:rFonts w:ascii="Arial" w:hAnsi="Arial" w:cs="Arial"/>
                <w:color w:val="010000"/>
                <w:sz w:val="20"/>
              </w:rPr>
              <w:t>226%</w:t>
            </w:r>
          </w:p>
        </w:tc>
      </w:tr>
    </w:tbl>
    <w:p w14:paraId="504F3184" w14:textId="777145CB" w:rsidR="00E341D4" w:rsidRPr="007C1F29" w:rsidRDefault="007627CC" w:rsidP="00DB0F3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1F29">
        <w:rPr>
          <w:rFonts w:ascii="Arial" w:hAnsi="Arial" w:cs="Arial"/>
          <w:color w:val="010000"/>
          <w:sz w:val="20"/>
        </w:rPr>
        <w:t xml:space="preserve">Reasons for the fluctuation of the profit after tax </w:t>
      </w:r>
      <w:r w:rsidR="00002D5B" w:rsidRPr="007C1F29">
        <w:rPr>
          <w:rFonts w:ascii="Arial" w:hAnsi="Arial" w:cs="Arial"/>
          <w:color w:val="010000"/>
          <w:sz w:val="20"/>
        </w:rPr>
        <w:t xml:space="preserve">in </w:t>
      </w:r>
      <w:r w:rsidRPr="007C1F29">
        <w:rPr>
          <w:rFonts w:ascii="Arial" w:hAnsi="Arial" w:cs="Arial"/>
          <w:color w:val="010000"/>
          <w:sz w:val="20"/>
        </w:rPr>
        <w:t xml:space="preserve">Q1/2024 with more than 10% compared to </w:t>
      </w:r>
      <w:r w:rsidR="00002D5B" w:rsidRPr="007C1F29">
        <w:rPr>
          <w:rFonts w:ascii="Arial" w:hAnsi="Arial" w:cs="Arial"/>
          <w:color w:val="010000"/>
          <w:sz w:val="20"/>
        </w:rPr>
        <w:t xml:space="preserve">that of </w:t>
      </w:r>
      <w:r w:rsidRPr="007C1F29">
        <w:rPr>
          <w:rFonts w:ascii="Arial" w:hAnsi="Arial" w:cs="Arial"/>
          <w:color w:val="010000"/>
          <w:sz w:val="20"/>
        </w:rPr>
        <w:t>Q1/2023 and the production, business results</w:t>
      </w:r>
      <w:r w:rsidR="00002D5B" w:rsidRPr="007C1F29">
        <w:rPr>
          <w:rFonts w:ascii="Arial" w:hAnsi="Arial" w:cs="Arial"/>
          <w:color w:val="010000"/>
          <w:sz w:val="20"/>
        </w:rPr>
        <w:t xml:space="preserve"> in</w:t>
      </w:r>
      <w:r w:rsidRPr="007C1F29">
        <w:rPr>
          <w:rFonts w:ascii="Arial" w:hAnsi="Arial" w:cs="Arial"/>
          <w:color w:val="010000"/>
          <w:sz w:val="20"/>
        </w:rPr>
        <w:t xml:space="preserve"> Q1/2024: VND 751,220,483: In Q1/2024 </w:t>
      </w:r>
      <w:proofErr w:type="gramStart"/>
      <w:r w:rsidRPr="007C1F29">
        <w:rPr>
          <w:rFonts w:ascii="Arial" w:hAnsi="Arial" w:cs="Arial"/>
          <w:color w:val="010000"/>
          <w:sz w:val="20"/>
        </w:rPr>
        <w:t>revenue</w:t>
      </w:r>
      <w:proofErr w:type="gramEnd"/>
      <w:r w:rsidRPr="007C1F29">
        <w:rPr>
          <w:rFonts w:ascii="Arial" w:hAnsi="Arial" w:cs="Arial"/>
          <w:color w:val="010000"/>
          <w:sz w:val="20"/>
        </w:rPr>
        <w:t xml:space="preserve"> </w:t>
      </w:r>
      <w:r w:rsidR="00002D5B" w:rsidRPr="007C1F29">
        <w:rPr>
          <w:rFonts w:ascii="Arial" w:hAnsi="Arial" w:cs="Arial"/>
          <w:color w:val="010000"/>
          <w:sz w:val="20"/>
        </w:rPr>
        <w:t>decreased</w:t>
      </w:r>
      <w:r w:rsidRPr="007C1F29">
        <w:rPr>
          <w:rFonts w:ascii="Arial" w:hAnsi="Arial" w:cs="Arial"/>
          <w:color w:val="010000"/>
          <w:sz w:val="20"/>
        </w:rPr>
        <w:t xml:space="preserve"> slightly 2% compared to the accumulation of Q1/2023. Most of the major services </w:t>
      </w:r>
      <w:r w:rsidR="00002D5B" w:rsidRPr="007C1F29">
        <w:rPr>
          <w:rFonts w:ascii="Arial" w:hAnsi="Arial" w:cs="Arial"/>
          <w:color w:val="010000"/>
          <w:sz w:val="20"/>
        </w:rPr>
        <w:t>increased</w:t>
      </w:r>
      <w:r w:rsidRPr="007C1F29">
        <w:rPr>
          <w:rFonts w:ascii="Arial" w:hAnsi="Arial" w:cs="Arial"/>
          <w:color w:val="010000"/>
          <w:sz w:val="20"/>
        </w:rPr>
        <w:t xml:space="preserve"> revenue compared to the accumulation of Q1/2023 such as handling, warehouse storage, bridges, ferries, and ships; except for revenue from leasing infrastructure, maritime services, </w:t>
      </w:r>
      <w:r w:rsidR="00DB0F30">
        <w:rPr>
          <w:rFonts w:ascii="Arial" w:hAnsi="Arial" w:cs="Arial"/>
          <w:color w:val="010000"/>
          <w:sz w:val="20"/>
        </w:rPr>
        <w:t xml:space="preserve">and </w:t>
      </w:r>
      <w:r w:rsidRPr="007C1F29">
        <w:rPr>
          <w:rFonts w:ascii="Arial" w:hAnsi="Arial" w:cs="Arial"/>
          <w:color w:val="010000"/>
          <w:sz w:val="20"/>
        </w:rPr>
        <w:t xml:space="preserve">other services </w:t>
      </w:r>
      <w:r w:rsidR="00002D5B" w:rsidRPr="007C1F29">
        <w:rPr>
          <w:rFonts w:ascii="Arial" w:hAnsi="Arial" w:cs="Arial"/>
          <w:color w:val="010000"/>
          <w:sz w:val="20"/>
        </w:rPr>
        <w:t>decreased</w:t>
      </w:r>
      <w:r w:rsidRPr="007C1F29">
        <w:rPr>
          <w:rFonts w:ascii="Arial" w:hAnsi="Arial" w:cs="Arial"/>
          <w:color w:val="010000"/>
          <w:sz w:val="20"/>
        </w:rPr>
        <w:t xml:space="preserve"> significantly.</w:t>
      </w:r>
      <w:r w:rsidR="00D14677" w:rsidRPr="007C1F29">
        <w:rPr>
          <w:rFonts w:ascii="Arial" w:hAnsi="Arial" w:cs="Arial"/>
          <w:color w:val="010000"/>
          <w:sz w:val="20"/>
        </w:rPr>
        <w:t xml:space="preserve"> </w:t>
      </w:r>
      <w:r w:rsidRPr="007C1F29">
        <w:rPr>
          <w:rFonts w:ascii="Arial" w:hAnsi="Arial" w:cs="Arial"/>
          <w:color w:val="010000"/>
          <w:sz w:val="20"/>
        </w:rPr>
        <w:t>Therefore, the port has endeavored to reduce expenses by 4%</w:t>
      </w:r>
      <w:r w:rsidR="00002D5B" w:rsidRPr="007C1F29">
        <w:rPr>
          <w:rFonts w:ascii="Arial" w:hAnsi="Arial" w:cs="Arial"/>
          <w:color w:val="010000"/>
          <w:sz w:val="20"/>
        </w:rPr>
        <w:t>,</w:t>
      </w:r>
      <w:r w:rsidRPr="007C1F29">
        <w:rPr>
          <w:rFonts w:ascii="Arial" w:hAnsi="Arial" w:cs="Arial"/>
          <w:color w:val="010000"/>
          <w:sz w:val="20"/>
        </w:rPr>
        <w:t xml:space="preserve"> desp</w:t>
      </w:r>
      <w:r w:rsidR="00997703" w:rsidRPr="007C1F29">
        <w:rPr>
          <w:rFonts w:ascii="Arial" w:hAnsi="Arial" w:cs="Arial"/>
          <w:color w:val="010000"/>
          <w:sz w:val="20"/>
        </w:rPr>
        <w:t>ite a slight decrease in out</w:t>
      </w:r>
      <w:r w:rsidRPr="007C1F29">
        <w:rPr>
          <w:rFonts w:ascii="Arial" w:hAnsi="Arial" w:cs="Arial"/>
          <w:color w:val="010000"/>
          <w:sz w:val="20"/>
        </w:rPr>
        <w:t xml:space="preserve">put, the business results </w:t>
      </w:r>
      <w:r w:rsidR="00002D5B" w:rsidRPr="007C1F29">
        <w:rPr>
          <w:rFonts w:ascii="Arial" w:hAnsi="Arial" w:cs="Arial"/>
          <w:color w:val="010000"/>
          <w:sz w:val="20"/>
        </w:rPr>
        <w:t xml:space="preserve">in </w:t>
      </w:r>
      <w:r w:rsidRPr="007C1F29">
        <w:rPr>
          <w:rFonts w:ascii="Arial" w:hAnsi="Arial" w:cs="Arial"/>
          <w:color w:val="010000"/>
          <w:sz w:val="20"/>
        </w:rPr>
        <w:t>Q1/2024 increased by 1.226% compared to</w:t>
      </w:r>
      <w:r w:rsidR="00002D5B" w:rsidRPr="007C1F29">
        <w:rPr>
          <w:rFonts w:ascii="Arial" w:hAnsi="Arial" w:cs="Arial"/>
          <w:color w:val="010000"/>
          <w:sz w:val="20"/>
        </w:rPr>
        <w:t xml:space="preserve"> that of</w:t>
      </w:r>
      <w:r w:rsidRPr="007C1F29">
        <w:rPr>
          <w:rFonts w:ascii="Arial" w:hAnsi="Arial" w:cs="Arial"/>
          <w:color w:val="010000"/>
          <w:sz w:val="20"/>
        </w:rPr>
        <w:t xml:space="preserve"> the same period.</w:t>
      </w:r>
    </w:p>
    <w:p w14:paraId="39F12F0C" w14:textId="29A106FE" w:rsidR="00E341D4" w:rsidRPr="007C1F29" w:rsidRDefault="007627CC" w:rsidP="00DB0F3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1F29">
        <w:rPr>
          <w:rFonts w:ascii="Arial" w:hAnsi="Arial" w:cs="Arial"/>
          <w:color w:val="010000"/>
          <w:sz w:val="20"/>
        </w:rPr>
        <w:t xml:space="preserve">On April </w:t>
      </w:r>
      <w:r w:rsidR="00002D5B" w:rsidRPr="007C1F29">
        <w:rPr>
          <w:rFonts w:ascii="Arial" w:hAnsi="Arial" w:cs="Arial"/>
          <w:color w:val="010000"/>
          <w:sz w:val="20"/>
        </w:rPr>
        <w:t>13</w:t>
      </w:r>
      <w:r w:rsidRPr="007C1F29">
        <w:rPr>
          <w:rFonts w:ascii="Arial" w:hAnsi="Arial" w:cs="Arial"/>
          <w:color w:val="010000"/>
          <w:sz w:val="20"/>
        </w:rPr>
        <w:t xml:space="preserve">, 2024, Can </w:t>
      </w:r>
      <w:proofErr w:type="spellStart"/>
      <w:r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Port Joint Stock Company announced Official Dispatch No. 193/CCT-TCHC on explaining Official Dispatch No.</w:t>
      </w:r>
      <w:r w:rsidR="002328AA" w:rsidRPr="007C1F29">
        <w:rPr>
          <w:rFonts w:ascii="Arial" w:hAnsi="Arial" w:cs="Arial"/>
          <w:color w:val="010000"/>
          <w:sz w:val="20"/>
        </w:rPr>
        <w:t xml:space="preserve"> </w:t>
      </w:r>
      <w:r w:rsidRPr="007C1F29">
        <w:rPr>
          <w:rFonts w:ascii="Arial" w:hAnsi="Arial" w:cs="Arial"/>
          <w:color w:val="010000"/>
          <w:sz w:val="20"/>
        </w:rPr>
        <w:t>1082</w:t>
      </w:r>
      <w:r w:rsidR="002328AA" w:rsidRPr="007C1F29">
        <w:rPr>
          <w:rFonts w:ascii="Arial" w:hAnsi="Arial" w:cs="Arial"/>
          <w:color w:val="010000"/>
          <w:sz w:val="20"/>
        </w:rPr>
        <w:t>/SGDHN-</w:t>
      </w:r>
      <w:r w:rsidRPr="007C1F29">
        <w:rPr>
          <w:rFonts w:ascii="Arial" w:hAnsi="Arial" w:cs="Arial"/>
          <w:color w:val="010000"/>
          <w:sz w:val="20"/>
        </w:rPr>
        <w:t>QLNY</w:t>
      </w:r>
      <w:r w:rsidR="002328AA" w:rsidRPr="007C1F29">
        <w:rPr>
          <w:rFonts w:ascii="Arial" w:hAnsi="Arial" w:cs="Arial"/>
          <w:color w:val="010000"/>
          <w:sz w:val="20"/>
        </w:rPr>
        <w:t xml:space="preserve"> dated May 3, 2024</w:t>
      </w:r>
      <w:r w:rsidRPr="007C1F29">
        <w:rPr>
          <w:rFonts w:ascii="Arial" w:hAnsi="Arial" w:cs="Arial"/>
          <w:color w:val="010000"/>
          <w:sz w:val="20"/>
        </w:rPr>
        <w:t xml:space="preserve"> as follows: </w:t>
      </w:r>
    </w:p>
    <w:p w14:paraId="3AEACD66" w14:textId="1350540B" w:rsidR="00E341D4" w:rsidRPr="007C1F29" w:rsidRDefault="007627CC" w:rsidP="00DB0F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1F29">
        <w:rPr>
          <w:rFonts w:ascii="Arial" w:hAnsi="Arial" w:cs="Arial"/>
          <w:color w:val="010000"/>
          <w:sz w:val="20"/>
        </w:rPr>
        <w:t xml:space="preserve">On May 07, 2024, Can </w:t>
      </w:r>
      <w:proofErr w:type="spellStart"/>
      <w:r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Port Joint Stock Company (Can </w:t>
      </w:r>
      <w:proofErr w:type="spellStart"/>
      <w:r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Port) received Document No. 1082/SGDHN-QLNY dated May 03, 2024</w:t>
      </w:r>
      <w:r w:rsidR="00DF2CC7">
        <w:rPr>
          <w:rFonts w:ascii="Arial" w:hAnsi="Arial" w:cs="Arial"/>
          <w:color w:val="010000"/>
          <w:sz w:val="20"/>
        </w:rPr>
        <w:t>,</w:t>
      </w:r>
      <w:r w:rsidRPr="007C1F29">
        <w:rPr>
          <w:rFonts w:ascii="Arial" w:hAnsi="Arial" w:cs="Arial"/>
          <w:color w:val="010000"/>
          <w:sz w:val="20"/>
        </w:rPr>
        <w:t xml:space="preserve"> from Ha </w:t>
      </w:r>
      <w:proofErr w:type="spellStart"/>
      <w:r w:rsidRPr="007C1F29">
        <w:rPr>
          <w:rFonts w:ascii="Arial" w:hAnsi="Arial" w:cs="Arial"/>
          <w:color w:val="010000"/>
          <w:sz w:val="20"/>
        </w:rPr>
        <w:t>Noi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Stock Exchange on reminding the Information Disclosure and requiring explanation on signs of regulation violation about the Information Disclosure on the Financial Statements Q1/2024 audited with Ha </w:t>
      </w:r>
      <w:proofErr w:type="spellStart"/>
      <w:r w:rsidRPr="007C1F29">
        <w:rPr>
          <w:rFonts w:ascii="Arial" w:hAnsi="Arial" w:cs="Arial"/>
          <w:color w:val="010000"/>
          <w:sz w:val="20"/>
        </w:rPr>
        <w:t>Noi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Stock Exchange. </w:t>
      </w:r>
      <w:r w:rsidRPr="007C1F29">
        <w:rPr>
          <w:rFonts w:ascii="Arial" w:hAnsi="Arial" w:cs="Arial"/>
          <w:color w:val="010000"/>
          <w:sz w:val="20"/>
        </w:rPr>
        <w:cr/>
        <w:t xml:space="preserve">Can </w:t>
      </w:r>
      <w:proofErr w:type="spellStart"/>
      <w:r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Port cordially explains as </w:t>
      </w:r>
      <w:proofErr w:type="gramStart"/>
      <w:r w:rsidRPr="007C1F29">
        <w:rPr>
          <w:rFonts w:ascii="Arial" w:hAnsi="Arial" w:cs="Arial"/>
          <w:color w:val="010000"/>
          <w:sz w:val="20"/>
        </w:rPr>
        <w:t>follows:</w:t>
      </w:r>
      <w:proofErr w:type="gramEnd"/>
    </w:p>
    <w:p w14:paraId="2F193E05" w14:textId="148E6614" w:rsidR="00E341D4" w:rsidRPr="007C1F29" w:rsidRDefault="007627CC" w:rsidP="00DB0F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1F29">
        <w:rPr>
          <w:rFonts w:ascii="Arial" w:hAnsi="Arial" w:cs="Arial"/>
          <w:color w:val="010000"/>
          <w:sz w:val="20"/>
        </w:rPr>
        <w:t>On April 19, 2024</w:t>
      </w:r>
      <w:r w:rsidR="002328AA" w:rsidRPr="007C1F29">
        <w:rPr>
          <w:rFonts w:ascii="Arial" w:hAnsi="Arial" w:cs="Arial"/>
          <w:color w:val="010000"/>
          <w:sz w:val="20"/>
        </w:rPr>
        <w:t xml:space="preserve">, Can </w:t>
      </w:r>
      <w:proofErr w:type="spellStart"/>
      <w:r w:rsidR="002328AA"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="002328AA" w:rsidRPr="007C1F29">
        <w:rPr>
          <w:rFonts w:ascii="Arial" w:hAnsi="Arial" w:cs="Arial"/>
          <w:color w:val="010000"/>
          <w:sz w:val="20"/>
        </w:rPr>
        <w:t xml:space="preserve"> Port disclosed</w:t>
      </w:r>
      <w:r w:rsidRPr="007C1F29">
        <w:rPr>
          <w:rFonts w:ascii="Arial" w:hAnsi="Arial" w:cs="Arial"/>
          <w:color w:val="010000"/>
          <w:sz w:val="20"/>
        </w:rPr>
        <w:t xml:space="preserve"> the information at the website https://cims.hnx.vn on the Financial Statements Q1/2024 of the Company and </w:t>
      </w:r>
      <w:r w:rsidR="002328AA" w:rsidRPr="007C1F29">
        <w:rPr>
          <w:rFonts w:ascii="Arial" w:hAnsi="Arial" w:cs="Arial"/>
          <w:color w:val="010000"/>
          <w:sz w:val="20"/>
        </w:rPr>
        <w:t>disclosed</w:t>
      </w:r>
      <w:r w:rsidRPr="007C1F29">
        <w:rPr>
          <w:rFonts w:ascii="Arial" w:hAnsi="Arial" w:cs="Arial"/>
          <w:color w:val="010000"/>
          <w:sz w:val="20"/>
        </w:rPr>
        <w:t xml:space="preserve"> information on </w:t>
      </w:r>
      <w:r w:rsidR="002328AA" w:rsidRPr="007C1F29">
        <w:rPr>
          <w:rFonts w:ascii="Arial" w:hAnsi="Arial" w:cs="Arial"/>
          <w:color w:val="010000"/>
          <w:sz w:val="20"/>
        </w:rPr>
        <w:t xml:space="preserve">the </w:t>
      </w:r>
      <w:r w:rsidRPr="007C1F29">
        <w:rPr>
          <w:rFonts w:ascii="Arial" w:hAnsi="Arial" w:cs="Arial"/>
          <w:color w:val="010000"/>
          <w:sz w:val="20"/>
        </w:rPr>
        <w:t xml:space="preserve">Document explaining the Financial Statements, approved by Ha </w:t>
      </w:r>
      <w:proofErr w:type="spellStart"/>
      <w:r w:rsidRPr="007C1F29">
        <w:rPr>
          <w:rFonts w:ascii="Arial" w:hAnsi="Arial" w:cs="Arial"/>
          <w:color w:val="010000"/>
          <w:sz w:val="20"/>
        </w:rPr>
        <w:t>Noi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Stock Exchange on April 22, 2024.</w:t>
      </w:r>
      <w:r w:rsidR="00D14677" w:rsidRPr="007C1F29">
        <w:rPr>
          <w:rFonts w:ascii="Arial" w:hAnsi="Arial" w:cs="Arial"/>
          <w:color w:val="010000"/>
          <w:sz w:val="20"/>
        </w:rPr>
        <w:t xml:space="preserve"> </w:t>
      </w:r>
      <w:r w:rsidRPr="007C1F29">
        <w:rPr>
          <w:rFonts w:ascii="Arial" w:hAnsi="Arial" w:cs="Arial"/>
          <w:color w:val="010000"/>
          <w:sz w:val="20"/>
        </w:rPr>
        <w:t>However, in the process of implementing</w:t>
      </w:r>
      <w:r w:rsidR="002328AA" w:rsidRPr="007C1F29">
        <w:rPr>
          <w:rFonts w:ascii="Arial" w:hAnsi="Arial" w:cs="Arial"/>
          <w:color w:val="010000"/>
          <w:sz w:val="20"/>
        </w:rPr>
        <w:t xml:space="preserve"> the information disclosure on</w:t>
      </w:r>
      <w:r w:rsidRPr="007C1F29">
        <w:rPr>
          <w:rFonts w:ascii="Arial" w:hAnsi="Arial" w:cs="Arial"/>
          <w:color w:val="010000"/>
          <w:sz w:val="20"/>
        </w:rPr>
        <w:t xml:space="preserve"> </w:t>
      </w:r>
      <w:r w:rsidR="00DF2CC7">
        <w:rPr>
          <w:rFonts w:ascii="Arial" w:hAnsi="Arial" w:cs="Arial"/>
          <w:color w:val="010000"/>
          <w:sz w:val="20"/>
        </w:rPr>
        <w:t xml:space="preserve">the </w:t>
      </w:r>
      <w:r w:rsidRPr="007C1F29">
        <w:rPr>
          <w:rFonts w:ascii="Arial" w:hAnsi="Arial" w:cs="Arial"/>
          <w:color w:val="010000"/>
          <w:sz w:val="20"/>
        </w:rPr>
        <w:t xml:space="preserve">explanation </w:t>
      </w:r>
      <w:r w:rsidR="00DF2CC7">
        <w:rPr>
          <w:rFonts w:ascii="Arial" w:hAnsi="Arial" w:cs="Arial"/>
          <w:color w:val="010000"/>
          <w:sz w:val="20"/>
        </w:rPr>
        <w:t>of</w:t>
      </w:r>
      <w:r w:rsidRPr="007C1F29">
        <w:rPr>
          <w:rFonts w:ascii="Arial" w:hAnsi="Arial" w:cs="Arial"/>
          <w:color w:val="010000"/>
          <w:sz w:val="20"/>
        </w:rPr>
        <w:t xml:space="preserve"> the Financial Statements, some mistakes led to the wrong file of </w:t>
      </w:r>
      <w:r w:rsidR="00DF2CC7">
        <w:rPr>
          <w:rFonts w:ascii="Arial" w:hAnsi="Arial" w:cs="Arial"/>
          <w:color w:val="010000"/>
          <w:sz w:val="20"/>
        </w:rPr>
        <w:t xml:space="preserve">the </w:t>
      </w:r>
      <w:r w:rsidRPr="007C1F29">
        <w:rPr>
          <w:rFonts w:ascii="Arial" w:hAnsi="Arial" w:cs="Arial"/>
          <w:color w:val="010000"/>
          <w:sz w:val="20"/>
        </w:rPr>
        <w:t>explanation report.</w:t>
      </w:r>
      <w:r w:rsidR="00D14677" w:rsidRPr="007C1F29">
        <w:rPr>
          <w:rFonts w:ascii="Arial" w:hAnsi="Arial" w:cs="Arial"/>
          <w:color w:val="010000"/>
          <w:sz w:val="20"/>
        </w:rPr>
        <w:t xml:space="preserve"> </w:t>
      </w:r>
      <w:r w:rsidRPr="007C1F29">
        <w:rPr>
          <w:rFonts w:ascii="Arial" w:hAnsi="Arial" w:cs="Arial"/>
          <w:color w:val="010000"/>
          <w:sz w:val="20"/>
        </w:rPr>
        <w:t xml:space="preserve">After receiving </w:t>
      </w:r>
      <w:r w:rsidR="002328AA" w:rsidRPr="007C1F29">
        <w:rPr>
          <w:rFonts w:ascii="Arial" w:hAnsi="Arial" w:cs="Arial"/>
          <w:color w:val="010000"/>
          <w:sz w:val="20"/>
        </w:rPr>
        <w:t xml:space="preserve">the </w:t>
      </w:r>
      <w:r w:rsidRPr="007C1F29">
        <w:rPr>
          <w:rFonts w:ascii="Arial" w:hAnsi="Arial" w:cs="Arial"/>
          <w:color w:val="010000"/>
          <w:sz w:val="20"/>
        </w:rPr>
        <w:t xml:space="preserve">Document </w:t>
      </w:r>
      <w:r w:rsidR="00DF2CC7">
        <w:rPr>
          <w:rFonts w:ascii="Arial" w:hAnsi="Arial" w:cs="Arial"/>
          <w:color w:val="010000"/>
          <w:sz w:val="20"/>
        </w:rPr>
        <w:t>from</w:t>
      </w:r>
      <w:bookmarkStart w:id="0" w:name="_GoBack"/>
      <w:bookmarkEnd w:id="0"/>
      <w:r w:rsidRPr="007C1F29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Pr="007C1F29">
        <w:rPr>
          <w:rFonts w:ascii="Arial" w:hAnsi="Arial" w:cs="Arial"/>
          <w:color w:val="010000"/>
          <w:sz w:val="20"/>
        </w:rPr>
        <w:t>Noi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Stock Exchange, Can </w:t>
      </w:r>
      <w:proofErr w:type="spellStart"/>
      <w:r w:rsidRPr="007C1F29">
        <w:rPr>
          <w:rFonts w:ascii="Arial" w:hAnsi="Arial" w:cs="Arial"/>
          <w:color w:val="010000"/>
          <w:sz w:val="20"/>
        </w:rPr>
        <w:t>Tho</w:t>
      </w:r>
      <w:proofErr w:type="spellEnd"/>
      <w:r w:rsidRPr="007C1F29">
        <w:rPr>
          <w:rFonts w:ascii="Arial" w:hAnsi="Arial" w:cs="Arial"/>
          <w:color w:val="010000"/>
          <w:sz w:val="20"/>
        </w:rPr>
        <w:t xml:space="preserve"> Port implemented </w:t>
      </w:r>
      <w:r w:rsidR="002328AA" w:rsidRPr="007C1F29">
        <w:rPr>
          <w:rFonts w:ascii="Arial" w:hAnsi="Arial" w:cs="Arial"/>
          <w:color w:val="010000"/>
          <w:sz w:val="20"/>
        </w:rPr>
        <w:t xml:space="preserve">information disclosure </w:t>
      </w:r>
      <w:r w:rsidRPr="007C1F29">
        <w:rPr>
          <w:rFonts w:ascii="Arial" w:hAnsi="Arial" w:cs="Arial"/>
          <w:color w:val="010000"/>
          <w:sz w:val="20"/>
        </w:rPr>
        <w:t>on reporting</w:t>
      </w:r>
      <w:r w:rsidR="002328AA" w:rsidRPr="007C1F29">
        <w:rPr>
          <w:rFonts w:ascii="Arial" w:hAnsi="Arial" w:cs="Arial"/>
          <w:color w:val="010000"/>
          <w:sz w:val="20"/>
        </w:rPr>
        <w:t xml:space="preserve"> the</w:t>
      </w:r>
      <w:r w:rsidRPr="007C1F29">
        <w:rPr>
          <w:rFonts w:ascii="Arial" w:hAnsi="Arial" w:cs="Arial"/>
          <w:color w:val="010000"/>
          <w:sz w:val="20"/>
        </w:rPr>
        <w:t xml:space="preserve"> explanation </w:t>
      </w:r>
      <w:r w:rsidR="002328AA" w:rsidRPr="007C1F29">
        <w:rPr>
          <w:rFonts w:ascii="Arial" w:hAnsi="Arial" w:cs="Arial"/>
          <w:color w:val="010000"/>
          <w:sz w:val="20"/>
        </w:rPr>
        <w:t>for</w:t>
      </w:r>
      <w:r w:rsidRPr="007C1F29">
        <w:rPr>
          <w:rFonts w:ascii="Arial" w:hAnsi="Arial" w:cs="Arial"/>
          <w:color w:val="010000"/>
          <w:sz w:val="20"/>
        </w:rPr>
        <w:t xml:space="preserve"> the Financial Statements Q1/2024. </w:t>
      </w:r>
    </w:p>
    <w:sectPr w:rsidR="00E341D4" w:rsidRPr="007C1F29" w:rsidSect="007C1F2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A6254"/>
    <w:multiLevelType w:val="multilevel"/>
    <w:tmpl w:val="9FA628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8E32C2"/>
    <w:multiLevelType w:val="hybridMultilevel"/>
    <w:tmpl w:val="E408878E"/>
    <w:lvl w:ilvl="0" w:tplc="EEC8368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7DCB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FBCF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D4"/>
    <w:rsid w:val="00002D5B"/>
    <w:rsid w:val="002328AA"/>
    <w:rsid w:val="002E3FDE"/>
    <w:rsid w:val="002F2012"/>
    <w:rsid w:val="007627CC"/>
    <w:rsid w:val="007C1F29"/>
    <w:rsid w:val="00970443"/>
    <w:rsid w:val="00997703"/>
    <w:rsid w:val="00AC70F4"/>
    <w:rsid w:val="00D14677"/>
    <w:rsid w:val="00DB0F30"/>
    <w:rsid w:val="00DF2CC7"/>
    <w:rsid w:val="00E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3A31F"/>
  <w15:docId w15:val="{5000078F-1687-4E45-AA1A-74E6E9A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A5B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A5B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F06271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A5B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A5B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260" w:firstLine="72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Other0">
    <w:name w:val="Other"/>
    <w:basedOn w:val="Normal"/>
    <w:link w:val="Other"/>
    <w:pPr>
      <w:spacing w:line="286" w:lineRule="auto"/>
      <w:ind w:firstLine="400"/>
    </w:pPr>
    <w:rPr>
      <w:rFonts w:ascii="Times New Roman" w:eastAsia="Times New Roman" w:hAnsi="Times New Roman" w:cs="Times New Roman"/>
      <w:color w:val="5A5A5B"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336" w:lineRule="auto"/>
      <w:ind w:left="180" w:firstLine="680"/>
      <w:outlineLvl w:val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color w:val="5A5A5B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57" w:lineRule="auto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color w:val="F06271"/>
      <w:sz w:val="20"/>
      <w:szCs w:val="20"/>
    </w:rPr>
  </w:style>
  <w:style w:type="paragraph" w:customStyle="1" w:styleId="Heading31">
    <w:name w:val="Heading #3"/>
    <w:basedOn w:val="Normal"/>
    <w:link w:val="Heading30"/>
    <w:pPr>
      <w:ind w:firstLine="460"/>
      <w:outlineLvl w:val="2"/>
    </w:pPr>
    <w:rPr>
      <w:rFonts w:ascii="Times New Roman" w:eastAsia="Times New Roman" w:hAnsi="Times New Roman" w:cs="Times New Roman"/>
      <w:b/>
      <w:bCs/>
      <w:color w:val="5A5A5B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5A5A5B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300" w:firstLine="20"/>
    </w:pPr>
    <w:rPr>
      <w:rFonts w:ascii="Arial" w:eastAsia="Arial" w:hAnsi="Arial" w:cs="Arial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45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4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00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sfTUsy/KvX26SG6ac1QmRRT+A==">CgMxLjA4AHIhMWtxNXdQdVkyQ3ZyNE1Hc0U5SG9xSXdMR1FEUTJhUndR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2287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2024-05-15T03:39:00Z</dcterms:created>
  <dcterms:modified xsi:type="dcterms:W3CDTF">2024-05-16T06:38:00Z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a22bb7c6e61869c30839ced85dc3d6b7dbfa60b3b066ff87523e82d10c921dbe</vt:lpwstr>
  </property>
</Properties>
</file>