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634C" w:rsidRPr="003D2F3A" w:rsidRDefault="00AB790E" w:rsidP="00D04F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D2F3A">
        <w:rPr>
          <w:rFonts w:ascii="Arial" w:hAnsi="Arial" w:cs="Arial"/>
          <w:b/>
          <w:color w:val="010000"/>
          <w:sz w:val="20"/>
        </w:rPr>
        <w:t>HSP: Board Resolution</w:t>
      </w:r>
    </w:p>
    <w:p w14:paraId="00000002" w14:textId="77777777" w:rsidR="003E634C" w:rsidRPr="003D2F3A" w:rsidRDefault="00AB790E" w:rsidP="00D04F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2F3A">
        <w:rPr>
          <w:rFonts w:ascii="Arial" w:hAnsi="Arial" w:cs="Arial"/>
          <w:color w:val="010000"/>
          <w:sz w:val="20"/>
        </w:rPr>
        <w:t>On May 14, 2024, Hanoi Synthetic Paint Joint Stock Company announced Resolution No. 38/NQ-HDQT-STH as follows:</w:t>
      </w:r>
    </w:p>
    <w:p w14:paraId="00000003" w14:textId="1AA269B2" w:rsidR="003E634C" w:rsidRPr="003D2F3A" w:rsidRDefault="00AB790E" w:rsidP="00D04F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2F3A">
        <w:rPr>
          <w:rFonts w:ascii="Arial" w:hAnsi="Arial" w:cs="Arial"/>
          <w:color w:val="010000"/>
          <w:sz w:val="20"/>
        </w:rPr>
        <w:t>Article I: The Board</w:t>
      </w:r>
      <w:r w:rsidR="00764103">
        <w:rPr>
          <w:rFonts w:ascii="Arial" w:hAnsi="Arial" w:cs="Arial"/>
          <w:color w:val="010000"/>
          <w:sz w:val="20"/>
        </w:rPr>
        <w:t xml:space="preserve"> of Directors approved dividend</w:t>
      </w:r>
      <w:r w:rsidRPr="003D2F3A">
        <w:rPr>
          <w:rFonts w:ascii="Arial" w:hAnsi="Arial" w:cs="Arial"/>
          <w:color w:val="010000"/>
          <w:sz w:val="20"/>
        </w:rPr>
        <w:t xml:space="preserve"> payment of 2023 in cash of Hanoi Synt</w:t>
      </w:r>
      <w:r w:rsidR="00764103">
        <w:rPr>
          <w:rFonts w:ascii="Arial" w:hAnsi="Arial" w:cs="Arial"/>
          <w:color w:val="010000"/>
          <w:sz w:val="20"/>
        </w:rPr>
        <w:t xml:space="preserve">hetic Paint Joint Stock Company, specifically </w:t>
      </w:r>
      <w:bookmarkStart w:id="0" w:name="_GoBack"/>
      <w:bookmarkEnd w:id="0"/>
      <w:r w:rsidRPr="003D2F3A">
        <w:rPr>
          <w:rFonts w:ascii="Arial" w:hAnsi="Arial" w:cs="Arial"/>
          <w:color w:val="010000"/>
          <w:sz w:val="20"/>
        </w:rPr>
        <w:t>as follows:</w:t>
      </w:r>
    </w:p>
    <w:p w14:paraId="00000004" w14:textId="77777777" w:rsidR="003E634C" w:rsidRPr="003D2F3A" w:rsidRDefault="00AB790E" w:rsidP="00D0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2F3A">
        <w:rPr>
          <w:rFonts w:ascii="Arial" w:hAnsi="Arial" w:cs="Arial"/>
          <w:color w:val="010000"/>
          <w:sz w:val="20"/>
        </w:rPr>
        <w:t>Record date: May 29, 2024</w:t>
      </w:r>
    </w:p>
    <w:p w14:paraId="00000005" w14:textId="77777777" w:rsidR="003E634C" w:rsidRPr="003D2F3A" w:rsidRDefault="00AB790E" w:rsidP="00D0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2F3A">
        <w:rPr>
          <w:rFonts w:ascii="Arial" w:hAnsi="Arial" w:cs="Arial"/>
          <w:color w:val="010000"/>
          <w:sz w:val="20"/>
        </w:rPr>
        <w:t>Dividend payment method: in cash</w:t>
      </w:r>
    </w:p>
    <w:p w14:paraId="00000006" w14:textId="3CC288D1" w:rsidR="003E634C" w:rsidRPr="003D2F3A" w:rsidRDefault="00D04FE6" w:rsidP="00D0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Dividend payment rate: 11.4% (Shareholders receive VND</w:t>
      </w:r>
      <w:r w:rsidR="00AB790E" w:rsidRPr="003D2F3A">
        <w:rPr>
          <w:rFonts w:ascii="Arial" w:hAnsi="Arial" w:cs="Arial"/>
          <w:color w:val="010000"/>
          <w:sz w:val="20"/>
        </w:rPr>
        <w:t xml:space="preserve">1,140 for every </w:t>
      </w:r>
      <w:r>
        <w:rPr>
          <w:rFonts w:ascii="Arial" w:hAnsi="Arial" w:cs="Arial"/>
          <w:color w:val="010000"/>
          <w:sz w:val="20"/>
        </w:rPr>
        <w:t>01 share owned</w:t>
      </w:r>
      <w:r w:rsidR="00AB790E" w:rsidRPr="003D2F3A">
        <w:rPr>
          <w:rFonts w:ascii="Arial" w:hAnsi="Arial" w:cs="Arial"/>
          <w:color w:val="010000"/>
          <w:sz w:val="20"/>
        </w:rPr>
        <w:t>)</w:t>
      </w:r>
    </w:p>
    <w:p w14:paraId="00000007" w14:textId="77777777" w:rsidR="003E634C" w:rsidRPr="003D2F3A" w:rsidRDefault="00AB790E" w:rsidP="00D0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2F3A">
        <w:rPr>
          <w:rFonts w:ascii="Arial" w:hAnsi="Arial" w:cs="Arial"/>
          <w:color w:val="010000"/>
          <w:sz w:val="20"/>
        </w:rPr>
        <w:t>Total payment amount: VND 13,710,878,040</w:t>
      </w:r>
    </w:p>
    <w:p w14:paraId="00000008" w14:textId="70B3B054" w:rsidR="003E634C" w:rsidRPr="003D2F3A" w:rsidRDefault="00AB790E" w:rsidP="00D0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2F3A">
        <w:rPr>
          <w:rFonts w:ascii="Arial" w:hAnsi="Arial" w:cs="Arial"/>
          <w:color w:val="010000"/>
          <w:sz w:val="20"/>
        </w:rPr>
        <w:t>Implementation time: June 14, 2024</w:t>
      </w:r>
    </w:p>
    <w:p w14:paraId="00000009" w14:textId="1CA4FA41" w:rsidR="003E634C" w:rsidRPr="003D2F3A" w:rsidRDefault="00AB790E" w:rsidP="00D04F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2F3A">
        <w:rPr>
          <w:rFonts w:ascii="Arial" w:hAnsi="Arial" w:cs="Arial"/>
          <w:color w:val="010000"/>
          <w:sz w:val="20"/>
        </w:rPr>
        <w:t xml:space="preserve">Article II: The Board of Directors assigned the </w:t>
      </w:r>
      <w:r w:rsidR="00D04FE6">
        <w:rPr>
          <w:rFonts w:ascii="Arial" w:hAnsi="Arial" w:cs="Arial"/>
          <w:color w:val="010000"/>
          <w:sz w:val="20"/>
        </w:rPr>
        <w:t>Managing Director</w:t>
      </w:r>
      <w:r w:rsidRPr="003D2F3A">
        <w:rPr>
          <w:rFonts w:ascii="Arial" w:hAnsi="Arial" w:cs="Arial"/>
          <w:color w:val="010000"/>
          <w:sz w:val="20"/>
        </w:rPr>
        <w:t xml:space="preserve"> to implement relevant procedures and pay </w:t>
      </w:r>
      <w:r w:rsidR="00D04FE6">
        <w:rPr>
          <w:rFonts w:ascii="Arial" w:hAnsi="Arial" w:cs="Arial"/>
          <w:color w:val="010000"/>
          <w:sz w:val="20"/>
        </w:rPr>
        <w:t>under applicable laws</w:t>
      </w:r>
      <w:r w:rsidRPr="003D2F3A">
        <w:rPr>
          <w:rFonts w:ascii="Arial" w:hAnsi="Arial" w:cs="Arial"/>
          <w:color w:val="010000"/>
          <w:sz w:val="20"/>
        </w:rPr>
        <w:t xml:space="preserve"> and the Company's charter.</w:t>
      </w:r>
    </w:p>
    <w:sectPr w:rsidR="003E634C" w:rsidRPr="003D2F3A" w:rsidSect="003D2F3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74BB"/>
    <w:multiLevelType w:val="multilevel"/>
    <w:tmpl w:val="1AC696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4C"/>
    <w:rsid w:val="003D2F3A"/>
    <w:rsid w:val="003E634C"/>
    <w:rsid w:val="00764103"/>
    <w:rsid w:val="00AB790E"/>
    <w:rsid w:val="00D04FE6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BC50C"/>
  <w15:docId w15:val="{7D9B78FA-68A5-48E9-9F7F-BE1549EC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242632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264" w:lineRule="auto"/>
      <w:jc w:val="center"/>
    </w:pPr>
    <w:rPr>
      <w:rFonts w:ascii="Arial" w:eastAsia="Arial" w:hAnsi="Arial" w:cs="Arial"/>
      <w:b/>
      <w:bCs/>
      <w:color w:val="242632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vECn1GYDBM+uOLL7MBAmVYsyA==">CgMxLjA4AHIhMVB0M0RKV1ZRY3VJVWZzMmJXMlFoeU9XZkdEUjl1ZGRr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2024-05-16T03:24:00Z</dcterms:created>
  <dcterms:modified xsi:type="dcterms:W3CDTF">2024-05-16T03:24:00Z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13008f6cdb94d30d8631ec9f50bf22e17082a5f81546db77faba4c9a67cff195</vt:lpwstr>
  </property>
</Properties>
</file>