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453D" w:rsidRPr="001215DB" w:rsidRDefault="00DD3FA8" w:rsidP="001215DB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  <w:tab w:val="left" w:pos="432"/>
          <w:tab w:val="left" w:pos="9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 w:rsidRPr="001215DB">
        <w:rPr>
          <w:rFonts w:ascii="Arial" w:hAnsi="Arial"/>
          <w:b/>
          <w:color w:val="010000"/>
          <w:sz w:val="20"/>
        </w:rPr>
        <w:t>RBC: Annual General Mandate 2024</w:t>
      </w:r>
    </w:p>
    <w:p w14:paraId="00000002" w14:textId="2E5795C4" w:rsidR="00D9453D" w:rsidRPr="001215DB" w:rsidRDefault="00DD3FA8" w:rsidP="001215DB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  <w:tab w:val="left" w:pos="432"/>
          <w:tab w:val="left" w:pos="9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On May 10, 2024, Rubber Industry &amp; Import - Export Corporation announced </w:t>
      </w:r>
      <w:r w:rsidR="001215DB" w:rsidRPr="001215DB">
        <w:rPr>
          <w:rFonts w:ascii="Arial" w:hAnsi="Arial"/>
          <w:color w:val="010000"/>
          <w:sz w:val="20"/>
        </w:rPr>
        <w:t>General</w:t>
      </w:r>
      <w:r w:rsidRPr="001215DB">
        <w:rPr>
          <w:rFonts w:ascii="Arial" w:hAnsi="Arial"/>
          <w:color w:val="010000"/>
          <w:sz w:val="20"/>
        </w:rPr>
        <w:t xml:space="preserve"> Mandate No. 02/NQ-DHDCDRBC as follows:</w:t>
      </w:r>
    </w:p>
    <w:p w14:paraId="00000003" w14:textId="73D6F2B8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  <w:tab w:val="left" w:pos="432"/>
          <w:tab w:val="left" w:pos="9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Approve the </w:t>
      </w:r>
      <w:r w:rsidR="001215DB" w:rsidRPr="001215DB">
        <w:rPr>
          <w:rFonts w:ascii="Arial" w:hAnsi="Arial"/>
          <w:color w:val="010000"/>
          <w:sz w:val="20"/>
        </w:rPr>
        <w:t>R</w:t>
      </w:r>
      <w:r w:rsidRPr="001215DB">
        <w:rPr>
          <w:rFonts w:ascii="Arial" w:hAnsi="Arial"/>
          <w:color w:val="010000"/>
          <w:sz w:val="20"/>
        </w:rPr>
        <w:t>eport on production and business results in 2023 with the following main targets:</w:t>
      </w:r>
    </w:p>
    <w:p w14:paraId="00000004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  <w:tab w:val="left" w:pos="432"/>
          <w:tab w:val="left" w:pos="9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Total </w:t>
      </w:r>
      <w:r w:rsidRPr="001215DB">
        <w:rPr>
          <w:rFonts w:ascii="Arial" w:hAnsi="Arial"/>
          <w:color w:val="010000"/>
          <w:sz w:val="20"/>
        </w:rPr>
        <w:t>revenue: VND 340,249,749,606</w:t>
      </w:r>
    </w:p>
    <w:p w14:paraId="00000005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4"/>
          <w:tab w:val="left" w:pos="41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Profit before tax: VND 3,705,523,431</w:t>
      </w:r>
    </w:p>
    <w:p w14:paraId="00000006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4"/>
          <w:tab w:val="left" w:pos="41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Profit after tax: VND 3,138,888,012</w:t>
      </w:r>
    </w:p>
    <w:p w14:paraId="00000007" w14:textId="77777777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Approve the profit distribution plan in 2023:</w:t>
      </w:r>
    </w:p>
    <w:p w14:paraId="00000008" w14:textId="28293AB9" w:rsidR="00D9453D" w:rsidRPr="001215DB" w:rsidRDefault="00DD3FA8" w:rsidP="001215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As the undistributed profit after tax as of December 31, 2023 is: VND </w:t>
      </w:r>
      <w:r w:rsidR="001215DB" w:rsidRPr="001215DB">
        <w:rPr>
          <w:rFonts w:ascii="Arial" w:hAnsi="Arial"/>
          <w:color w:val="010000"/>
          <w:sz w:val="20"/>
        </w:rPr>
        <w:t xml:space="preserve">- </w:t>
      </w:r>
      <w:r w:rsidRPr="001215DB">
        <w:rPr>
          <w:rFonts w:ascii="Arial" w:hAnsi="Arial"/>
          <w:color w:val="010000"/>
          <w:sz w:val="20"/>
        </w:rPr>
        <w:t>680,150,652, the Company decides not</w:t>
      </w:r>
      <w:r w:rsidRPr="001215DB">
        <w:rPr>
          <w:rFonts w:ascii="Arial" w:hAnsi="Arial"/>
          <w:color w:val="010000"/>
          <w:sz w:val="20"/>
        </w:rPr>
        <w:t xml:space="preserve"> to appropriate for funds and pay dividends in 2023.</w:t>
      </w:r>
    </w:p>
    <w:p w14:paraId="00000009" w14:textId="77777777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Approve the Audited Financial Statements 2023 of the Company.</w:t>
      </w:r>
    </w:p>
    <w:p w14:paraId="0000000A" w14:textId="50BE83A1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Approve the Report on activities of the Supervisory Board in 2023.</w:t>
      </w:r>
    </w:p>
    <w:p w14:paraId="0000000B" w14:textId="3CA5840F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Approve the production and business plan for the whole </w:t>
      </w:r>
      <w:r w:rsidR="001215DB" w:rsidRPr="001215DB">
        <w:rPr>
          <w:rFonts w:ascii="Arial" w:hAnsi="Arial"/>
          <w:color w:val="010000"/>
          <w:sz w:val="20"/>
        </w:rPr>
        <w:t>C</w:t>
      </w:r>
      <w:r w:rsidRPr="001215DB">
        <w:rPr>
          <w:rFonts w:ascii="Arial" w:hAnsi="Arial"/>
          <w:color w:val="010000"/>
          <w:sz w:val="20"/>
        </w:rPr>
        <w:t>ompany in 2024.</w:t>
      </w:r>
    </w:p>
    <w:p w14:paraId="0000000C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Total revenue: VND 352,246,000,000</w:t>
      </w:r>
    </w:p>
    <w:p w14:paraId="0000000D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Profit before tax: VND 4,000,000,000</w:t>
      </w:r>
    </w:p>
    <w:p w14:paraId="0000000E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Profit after tax: VND 3,320,000,000</w:t>
      </w:r>
    </w:p>
    <w:p w14:paraId="0000000F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Total capital demand for basic construction: VND 20,515,000,000</w:t>
      </w:r>
    </w:p>
    <w:p w14:paraId="00000010" w14:textId="2E4AF09D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Approve the plan on profit distribution in 2024: Expected profit profit after tax in 2024 </w:t>
      </w:r>
      <w:r w:rsidR="001215DB" w:rsidRPr="001215DB">
        <w:rPr>
          <w:rFonts w:ascii="Arial" w:hAnsi="Arial"/>
          <w:color w:val="010000"/>
          <w:sz w:val="20"/>
        </w:rPr>
        <w:t>of</w:t>
      </w:r>
      <w:r w:rsidRPr="001215DB">
        <w:rPr>
          <w:rFonts w:ascii="Arial" w:hAnsi="Arial"/>
          <w:color w:val="010000"/>
          <w:sz w:val="20"/>
        </w:rPr>
        <w:t xml:space="preserve"> VND 3,320,000,000</w:t>
      </w:r>
      <w:r w:rsidR="001215DB" w:rsidRPr="001215DB">
        <w:rPr>
          <w:rFonts w:ascii="Arial" w:hAnsi="Arial"/>
          <w:color w:val="010000"/>
          <w:sz w:val="20"/>
        </w:rPr>
        <w:t xml:space="preserve"> is</w:t>
      </w:r>
      <w:r w:rsidRPr="001215DB">
        <w:rPr>
          <w:rFonts w:ascii="Arial" w:hAnsi="Arial"/>
          <w:color w:val="010000"/>
          <w:sz w:val="20"/>
        </w:rPr>
        <w:t xml:space="preserve"> planned to be distributed as follows:</w:t>
      </w:r>
    </w:p>
    <w:p w14:paraId="00000011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2"/>
          <w:tab w:val="left" w:pos="56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Eliminate accumulated loss: VND 680,150,652</w:t>
      </w:r>
    </w:p>
    <w:p w14:paraId="00000012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Appropriate for corporate investment and development fund : </w:t>
      </w:r>
      <w:r w:rsidRPr="001215DB">
        <w:rPr>
          <w:rFonts w:ascii="Arial" w:hAnsi="Arial"/>
          <w:color w:val="010000"/>
          <w:sz w:val="20"/>
        </w:rPr>
        <w:t>VND 659,962,337;</w:t>
      </w:r>
    </w:p>
    <w:p w14:paraId="00000013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9"/>
          <w:tab w:val="left" w:pos="56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Appropriate for bonus and welfare fund: VND 976,848,931</w:t>
      </w:r>
    </w:p>
    <w:p w14:paraId="00000014" w14:textId="37D9EB98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9"/>
          <w:tab w:val="left" w:pos="56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Pay dividend</w:t>
      </w:r>
      <w:r w:rsidR="001215DB" w:rsidRPr="001215DB">
        <w:rPr>
          <w:rFonts w:ascii="Arial" w:hAnsi="Arial"/>
          <w:color w:val="010000"/>
          <w:sz w:val="20"/>
        </w:rPr>
        <w:t>s</w:t>
      </w:r>
      <w:r w:rsidRPr="001215DB">
        <w:rPr>
          <w:rFonts w:ascii="Arial" w:hAnsi="Arial"/>
          <w:color w:val="010000"/>
          <w:sz w:val="20"/>
        </w:rPr>
        <w:t xml:space="preserve"> (1%</w:t>
      </w:r>
      <w:r w:rsidR="001215DB" w:rsidRPr="001215DB">
        <w:rPr>
          <w:rFonts w:ascii="Arial" w:hAnsi="Arial"/>
          <w:color w:val="010000"/>
          <w:sz w:val="20"/>
        </w:rPr>
        <w:t>/</w:t>
      </w:r>
      <w:r w:rsidRPr="001215DB">
        <w:rPr>
          <w:rFonts w:ascii="Arial" w:hAnsi="Arial"/>
          <w:color w:val="010000"/>
          <w:sz w:val="20"/>
        </w:rPr>
        <w:t>charter capital): VND 1,003,038,080</w:t>
      </w:r>
    </w:p>
    <w:p w14:paraId="00000015" w14:textId="13E5CFB4" w:rsidR="00D9453D" w:rsidRPr="001215DB" w:rsidRDefault="001215DB" w:rsidP="001215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Approve assigning the Board of Directors to make a plan on profit distribution in 2024 to submit to the Annual General Meeting of Shareholders 2025.</w:t>
      </w:r>
    </w:p>
    <w:p w14:paraId="00000016" w14:textId="77777777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Select an audit company for the Financial Statements 2024:</w:t>
      </w:r>
    </w:p>
    <w:p w14:paraId="00000017" w14:textId="053C4514" w:rsidR="00D9453D" w:rsidRPr="001215DB" w:rsidRDefault="001215DB" w:rsidP="001215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Approve assigning the Board of Directors and the Supervisory Board of the Company to select 01 of the following 03 audit companies to audit the Financial Statements 2024:</w:t>
      </w:r>
    </w:p>
    <w:p w14:paraId="00000018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Southern Auditing &amp; Accounting Financial Consulting Services Company Limited (AASCS).</w:t>
      </w:r>
    </w:p>
    <w:p w14:paraId="00000019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AASC Auditing Firm Company Limited.</w:t>
      </w:r>
    </w:p>
    <w:p w14:paraId="0000001A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A&amp;C Auditing and Consulting Company Limited.</w:t>
      </w:r>
    </w:p>
    <w:p w14:paraId="0000001B" w14:textId="5A5E23C3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lastRenderedPageBreak/>
        <w:t>Authorize the Board of Directors to consider and approve the Company’s Operational</w:t>
      </w:r>
      <w:r w:rsidR="001215DB" w:rsidRPr="001215DB">
        <w:rPr>
          <w:rFonts w:ascii="Arial" w:hAnsi="Arial"/>
          <w:color w:val="010000"/>
          <w:sz w:val="20"/>
        </w:rPr>
        <w:t xml:space="preserve"> </w:t>
      </w:r>
      <w:r w:rsidRPr="001215DB">
        <w:rPr>
          <w:rFonts w:ascii="Arial" w:hAnsi="Arial"/>
          <w:color w:val="010000"/>
          <w:sz w:val="20"/>
        </w:rPr>
        <w:t>Regulations.</w:t>
      </w:r>
    </w:p>
    <w:p w14:paraId="0000001C" w14:textId="77777777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Authorize the Board of Directors to consider and approve the planned salary fund and the realized salary fund in 2024 of the Company.</w:t>
      </w:r>
    </w:p>
    <w:p w14:paraId="0000001D" w14:textId="23B2CAB6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Authorize the Board of Directors to continue considering the handling of deferred shares of </w:t>
      </w:r>
      <w:r w:rsidR="001215DB" w:rsidRPr="001215DB">
        <w:rPr>
          <w:rFonts w:ascii="Arial" w:hAnsi="Arial"/>
          <w:color w:val="010000"/>
          <w:sz w:val="20"/>
        </w:rPr>
        <w:t>employees</w:t>
      </w:r>
      <w:r w:rsidRPr="001215DB">
        <w:rPr>
          <w:rFonts w:ascii="Arial" w:hAnsi="Arial"/>
          <w:color w:val="010000"/>
          <w:sz w:val="20"/>
        </w:rPr>
        <w:t xml:space="preserve"> in compliance with the current provisions of law.</w:t>
      </w:r>
    </w:p>
    <w:p w14:paraId="0000001E" w14:textId="0AAE5A23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Approve the salary and remuneration </w:t>
      </w:r>
      <w:r w:rsidR="001215DB" w:rsidRPr="001215DB">
        <w:rPr>
          <w:rFonts w:ascii="Arial" w:hAnsi="Arial"/>
          <w:color w:val="010000"/>
          <w:sz w:val="20"/>
        </w:rPr>
        <w:t>for</w:t>
      </w:r>
      <w:r w:rsidRPr="001215DB">
        <w:rPr>
          <w:rFonts w:ascii="Arial" w:hAnsi="Arial"/>
          <w:color w:val="010000"/>
          <w:sz w:val="20"/>
        </w:rPr>
        <w:t xml:space="preserve"> the Board of Directors, the Supervisory Board, and the person in charge of corporate governance</w:t>
      </w:r>
      <w:r w:rsidR="001215DB" w:rsidRPr="001215DB">
        <w:rPr>
          <w:rFonts w:ascii="Arial" w:hAnsi="Arial"/>
          <w:color w:val="010000"/>
          <w:sz w:val="20"/>
        </w:rPr>
        <w:t xml:space="preserve"> </w:t>
      </w:r>
      <w:r w:rsidRPr="001215DB">
        <w:rPr>
          <w:rFonts w:ascii="Arial" w:hAnsi="Arial"/>
          <w:color w:val="010000"/>
          <w:sz w:val="20"/>
        </w:rPr>
        <w:t>of the Company in 2024.</w:t>
      </w:r>
    </w:p>
    <w:p w14:paraId="0000001F" w14:textId="015FA485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The salary of the </w:t>
      </w:r>
      <w:r w:rsidR="001215DB" w:rsidRPr="001215DB">
        <w:rPr>
          <w:rFonts w:ascii="Arial" w:hAnsi="Arial"/>
          <w:color w:val="010000"/>
          <w:sz w:val="20"/>
        </w:rPr>
        <w:t>E</w:t>
      </w:r>
      <w:r w:rsidRPr="001215DB">
        <w:rPr>
          <w:rFonts w:ascii="Arial" w:hAnsi="Arial"/>
          <w:color w:val="010000"/>
          <w:sz w:val="20"/>
        </w:rPr>
        <w:t xml:space="preserve">xecutive Chair of the </w:t>
      </w:r>
      <w:r w:rsidRPr="001215DB">
        <w:rPr>
          <w:rFonts w:ascii="Arial" w:hAnsi="Arial"/>
          <w:color w:val="010000"/>
          <w:sz w:val="20"/>
        </w:rPr>
        <w:t>Board of Directors: VND 24,000,000/month (according to the criteria for ranking Enterprise Managers: class III in Appendix 02 of Decision No. 107/QD-HDQTCSVN dated March 26, 2020</w:t>
      </w:r>
      <w:r w:rsidR="001215DB" w:rsidRPr="001215DB">
        <w:rPr>
          <w:rFonts w:ascii="Arial" w:hAnsi="Arial"/>
          <w:color w:val="010000"/>
          <w:sz w:val="20"/>
        </w:rPr>
        <w:t>).</w:t>
      </w:r>
    </w:p>
    <w:p w14:paraId="00000020" w14:textId="2578B60E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The salary of the </w:t>
      </w:r>
      <w:r w:rsidR="001215DB" w:rsidRPr="001215DB">
        <w:rPr>
          <w:rFonts w:ascii="Arial" w:hAnsi="Arial"/>
          <w:color w:val="010000"/>
          <w:sz w:val="20"/>
        </w:rPr>
        <w:t>E</w:t>
      </w:r>
      <w:r w:rsidRPr="001215DB">
        <w:rPr>
          <w:rFonts w:ascii="Arial" w:hAnsi="Arial"/>
          <w:color w:val="010000"/>
          <w:sz w:val="20"/>
        </w:rPr>
        <w:t>xecutive Chief of the Supervisory Board: VND 19,000,000/</w:t>
      </w:r>
      <w:r w:rsidRPr="001215DB">
        <w:rPr>
          <w:rFonts w:ascii="Arial" w:hAnsi="Arial"/>
          <w:color w:val="010000"/>
          <w:sz w:val="20"/>
        </w:rPr>
        <w:t>month (according to the criteria for ranking Enterprise Managers: class III in Appendix 02 of Decision No. 107/QD-HDQTCSVN dated March 26, 2020</w:t>
      </w:r>
      <w:r w:rsidR="001215DB" w:rsidRPr="001215DB">
        <w:rPr>
          <w:rFonts w:ascii="Arial" w:hAnsi="Arial"/>
          <w:color w:val="010000"/>
          <w:sz w:val="20"/>
        </w:rPr>
        <w:t>).</w:t>
      </w:r>
    </w:p>
    <w:p w14:paraId="00000021" w14:textId="77777777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The salary of the person in charge of corporate governance: Equal to the salary of the Company’s Heads of prof</w:t>
      </w:r>
      <w:r w:rsidRPr="001215DB">
        <w:rPr>
          <w:rFonts w:ascii="Arial" w:hAnsi="Arial"/>
          <w:color w:val="010000"/>
          <w:sz w:val="20"/>
        </w:rPr>
        <w:t xml:space="preserve">essional departments. </w:t>
      </w:r>
    </w:p>
    <w:p w14:paraId="00000022" w14:textId="5290F24C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The remuneration </w:t>
      </w:r>
      <w:r w:rsidR="001215DB" w:rsidRPr="001215DB">
        <w:rPr>
          <w:rFonts w:ascii="Arial" w:hAnsi="Arial"/>
          <w:color w:val="010000"/>
          <w:sz w:val="20"/>
        </w:rPr>
        <w:t>for</w:t>
      </w:r>
      <w:r w:rsidRPr="001215DB">
        <w:rPr>
          <w:rFonts w:ascii="Arial" w:hAnsi="Arial"/>
          <w:color w:val="010000"/>
          <w:sz w:val="20"/>
        </w:rPr>
        <w:t xml:space="preserve"> </w:t>
      </w:r>
      <w:r w:rsidR="001215DB" w:rsidRPr="001215DB">
        <w:rPr>
          <w:rFonts w:ascii="Arial" w:hAnsi="Arial"/>
          <w:color w:val="010000"/>
          <w:sz w:val="20"/>
        </w:rPr>
        <w:t>n</w:t>
      </w:r>
      <w:r w:rsidRPr="001215DB">
        <w:rPr>
          <w:rFonts w:ascii="Arial" w:hAnsi="Arial"/>
          <w:color w:val="010000"/>
          <w:sz w:val="20"/>
        </w:rPr>
        <w:t>on-executive members of the Board of Directors: VND 1,000,000/member/ month.</w:t>
      </w:r>
    </w:p>
    <w:p w14:paraId="00000023" w14:textId="731E59AB" w:rsidR="00D9453D" w:rsidRPr="001215DB" w:rsidRDefault="00DD3FA8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The remuneration </w:t>
      </w:r>
      <w:r w:rsidR="001215DB" w:rsidRPr="001215DB">
        <w:rPr>
          <w:rFonts w:ascii="Arial" w:hAnsi="Arial"/>
          <w:color w:val="010000"/>
          <w:sz w:val="20"/>
        </w:rPr>
        <w:t>for</w:t>
      </w:r>
      <w:r w:rsidRPr="001215DB">
        <w:rPr>
          <w:rFonts w:ascii="Arial" w:hAnsi="Arial"/>
          <w:color w:val="010000"/>
          <w:sz w:val="20"/>
        </w:rPr>
        <w:t xml:space="preserve"> </w:t>
      </w:r>
      <w:r w:rsidR="001215DB" w:rsidRPr="001215DB">
        <w:rPr>
          <w:rFonts w:ascii="Arial" w:hAnsi="Arial"/>
          <w:color w:val="010000"/>
          <w:sz w:val="20"/>
        </w:rPr>
        <w:t>n</w:t>
      </w:r>
      <w:r w:rsidRPr="001215DB">
        <w:rPr>
          <w:rFonts w:ascii="Arial" w:hAnsi="Arial"/>
          <w:color w:val="010000"/>
          <w:sz w:val="20"/>
        </w:rPr>
        <w:t>on-executive members of the Supervisory Board: VND 1,000,000/person/month.</w:t>
      </w:r>
    </w:p>
    <w:p w14:paraId="00000024" w14:textId="3F08CA65" w:rsidR="00D9453D" w:rsidRPr="001215DB" w:rsidRDefault="001215DB" w:rsidP="001215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Regarding the Chair of the Board of Members, members of the Board of Members, the Secretariat of the Board of Members, and the Supervisor of the subsidiary: The salary and remuneration will be decided by the Company’s Board of Directors.</w:t>
      </w:r>
    </w:p>
    <w:p w14:paraId="00000025" w14:textId="77777777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Authorize the General Manager to cooperate with the Com</w:t>
      </w:r>
      <w:r w:rsidRPr="001215DB">
        <w:rPr>
          <w:rFonts w:ascii="Arial" w:hAnsi="Arial"/>
          <w:color w:val="010000"/>
          <w:sz w:val="20"/>
        </w:rPr>
        <w:t>pany’s President of the Trade Union to decide on using the bonus and welfare fund (if any) in compliance with the provisions of law, regulations, and collective labor agreements.</w:t>
      </w:r>
    </w:p>
    <w:p w14:paraId="00000026" w14:textId="77777777" w:rsidR="00D9453D" w:rsidRPr="001215DB" w:rsidRDefault="00DD3FA8" w:rsidP="00121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 xml:space="preserve">The General Meeting of Shareholders assigns the Board of Directors and the </w:t>
      </w:r>
      <w:r w:rsidRPr="001215DB">
        <w:rPr>
          <w:rFonts w:ascii="Arial" w:hAnsi="Arial"/>
          <w:color w:val="010000"/>
          <w:sz w:val="20"/>
        </w:rPr>
        <w:t>Executive Board of the Company, based on specific periods, to make a detailed plan to implement the General Mandate 2024.</w:t>
      </w:r>
    </w:p>
    <w:p w14:paraId="00000027" w14:textId="77777777" w:rsidR="00D9453D" w:rsidRPr="001215DB" w:rsidRDefault="00DD3FA8" w:rsidP="001215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5DB">
        <w:rPr>
          <w:rFonts w:ascii="Arial" w:hAnsi="Arial"/>
          <w:color w:val="010000"/>
          <w:sz w:val="20"/>
        </w:rPr>
        <w:t>The General Meeting of Shareholders 2024 of Rubber Industry &amp; Import - Export Corporation is committed to achieving the projected targ</w:t>
      </w:r>
      <w:r w:rsidRPr="001215DB">
        <w:rPr>
          <w:rFonts w:ascii="Arial" w:hAnsi="Arial"/>
          <w:color w:val="010000"/>
          <w:sz w:val="20"/>
        </w:rPr>
        <w:t xml:space="preserve">ets of the Meeting for the Company’s stable and sustainable development. </w:t>
      </w:r>
    </w:p>
    <w:p w14:paraId="00000028" w14:textId="77777777" w:rsidR="00D9453D" w:rsidRPr="001215DB" w:rsidRDefault="00D9453D" w:rsidP="001215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D9453D" w:rsidRPr="001215D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43D7C"/>
    <w:multiLevelType w:val="multilevel"/>
    <w:tmpl w:val="F9B2A3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6363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924C11"/>
    <w:multiLevelType w:val="multilevel"/>
    <w:tmpl w:val="FDEA98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3D"/>
    <w:rsid w:val="001215DB"/>
    <w:rsid w:val="005C6171"/>
    <w:rsid w:val="00782635"/>
    <w:rsid w:val="00CE221F"/>
    <w:rsid w:val="00D9453D"/>
    <w:rsid w:val="00D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70C0"/>
  <w15:docId w15:val="{93C24AB1-DB42-4549-8D36-7B473E1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8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32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34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firstLine="160"/>
    </w:pPr>
    <w:rPr>
      <w:rFonts w:ascii="Times New Roman" w:eastAsia="Times New Roman" w:hAnsi="Times New Roman" w:cs="Times New Roman"/>
      <w:color w:val="595959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XoADLG9eTmQGVCoUEcgfR8Ww+w==">CgMxLjA4AHIhMW4wMXFZNm1PQjQxcS1YVnF6SUVNOThPRFA2LWlpT040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Thi Thu Giang</cp:lastModifiedBy>
  <cp:revision>2</cp:revision>
  <dcterms:created xsi:type="dcterms:W3CDTF">2024-05-16T03:58:00Z</dcterms:created>
  <dcterms:modified xsi:type="dcterms:W3CDTF">2024-05-16T03:58:00Z</dcterms:modified>
</cp:coreProperties>
</file>