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1BF0" w:rsidRPr="00AA2333" w:rsidRDefault="00E26D43" w:rsidP="00693C0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AA2333">
        <w:rPr>
          <w:rFonts w:ascii="Arial" w:hAnsi="Arial" w:cs="Arial"/>
          <w:b/>
          <w:color w:val="010000"/>
          <w:sz w:val="20"/>
        </w:rPr>
        <w:t>VNX: Board Resolution</w:t>
      </w:r>
    </w:p>
    <w:p w14:paraId="00000002" w14:textId="79FA0F3D" w:rsidR="00A71BF0" w:rsidRPr="00AA2333" w:rsidRDefault="00E26D43" w:rsidP="00693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A2333">
        <w:rPr>
          <w:rFonts w:ascii="Arial" w:hAnsi="Arial" w:cs="Arial"/>
          <w:color w:val="010000"/>
          <w:sz w:val="20"/>
        </w:rPr>
        <w:t>On May 14, 2024, Vietnam National Trade Fair and Advertising Company announced Resolution No. 18/HDQT-NQ on approving the registration dossier for offering to existing shareholders at the ownership</w:t>
      </w:r>
      <w:r w:rsidR="004F67BD" w:rsidRPr="00AA2333">
        <w:rPr>
          <w:rFonts w:ascii="Arial" w:hAnsi="Arial" w:cs="Arial"/>
          <w:color w:val="010000"/>
          <w:sz w:val="20"/>
          <w:lang w:val="vi-VN"/>
        </w:rPr>
        <w:t xml:space="preserve"> rate of</w:t>
      </w:r>
      <w:r w:rsidRPr="00AA2333">
        <w:rPr>
          <w:rFonts w:ascii="Arial" w:hAnsi="Arial" w:cs="Arial"/>
          <w:color w:val="010000"/>
          <w:sz w:val="20"/>
        </w:rPr>
        <w:t xml:space="preserve"> shares through public securities offering in 2024 as follows:</w:t>
      </w:r>
    </w:p>
    <w:p w14:paraId="00000003" w14:textId="17B98A69" w:rsidR="00A71BF0" w:rsidRPr="00AA2333" w:rsidRDefault="00E26D43" w:rsidP="00693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A2333">
        <w:rPr>
          <w:rFonts w:ascii="Arial" w:hAnsi="Arial" w:cs="Arial"/>
          <w:color w:val="010000"/>
          <w:sz w:val="20"/>
        </w:rPr>
        <w:t>‎‎Article 1. Approve on the registration dossier for offering to existing shareholders through public securities offering in 2024 in accordance with the regulations of the law, including:</w:t>
      </w:r>
    </w:p>
    <w:p w14:paraId="00000004" w14:textId="77777777" w:rsidR="00A71BF0" w:rsidRPr="00AA2333" w:rsidRDefault="00E26D43" w:rsidP="00693C0C">
      <w:pPr>
        <w:numPr>
          <w:ilvl w:val="0"/>
          <w:numId w:val="1"/>
        </w:numPr>
        <w:pBdr>
          <w:top w:val="nil"/>
          <w:left w:val="nil"/>
          <w:bottom w:val="nil"/>
          <w:right w:val="nil"/>
          <w:between w:val="nil"/>
        </w:pBdr>
        <w:tabs>
          <w:tab w:val="left" w:pos="432"/>
          <w:tab w:val="left" w:pos="1154"/>
        </w:tabs>
        <w:spacing w:after="120" w:line="360" w:lineRule="auto"/>
        <w:rPr>
          <w:rFonts w:ascii="Arial" w:eastAsia="Arial" w:hAnsi="Arial" w:cs="Arial"/>
          <w:color w:val="010000"/>
          <w:sz w:val="20"/>
          <w:szCs w:val="20"/>
        </w:rPr>
      </w:pPr>
      <w:r w:rsidRPr="00AA2333">
        <w:rPr>
          <w:rFonts w:ascii="Arial" w:hAnsi="Arial" w:cs="Arial"/>
          <w:color w:val="010000"/>
          <w:sz w:val="20"/>
        </w:rPr>
        <w:t>Registration certificate for public offering of additional shares;</w:t>
      </w:r>
    </w:p>
    <w:p w14:paraId="00000005" w14:textId="540D1492" w:rsidR="00A71BF0" w:rsidRPr="00AA2333" w:rsidRDefault="004F67BD" w:rsidP="00693C0C">
      <w:pPr>
        <w:numPr>
          <w:ilvl w:val="0"/>
          <w:numId w:val="1"/>
        </w:numPr>
        <w:pBdr>
          <w:top w:val="nil"/>
          <w:left w:val="nil"/>
          <w:bottom w:val="nil"/>
          <w:right w:val="nil"/>
          <w:between w:val="nil"/>
        </w:pBdr>
        <w:tabs>
          <w:tab w:val="left" w:pos="432"/>
          <w:tab w:val="left" w:pos="1189"/>
        </w:tabs>
        <w:spacing w:after="120" w:line="360" w:lineRule="auto"/>
        <w:rPr>
          <w:rFonts w:ascii="Arial" w:eastAsia="Arial" w:hAnsi="Arial" w:cs="Arial"/>
          <w:color w:val="010000"/>
          <w:sz w:val="20"/>
          <w:szCs w:val="20"/>
        </w:rPr>
      </w:pPr>
      <w:r w:rsidRPr="00AA2333">
        <w:rPr>
          <w:rFonts w:ascii="Arial" w:hAnsi="Arial" w:cs="Arial"/>
          <w:color w:val="010000"/>
          <w:sz w:val="20"/>
          <w:lang w:val="vi-VN"/>
        </w:rPr>
        <w:t xml:space="preserve">Business </w:t>
      </w:r>
      <w:r w:rsidRPr="00AA2333">
        <w:rPr>
          <w:rFonts w:ascii="Arial" w:hAnsi="Arial" w:cs="Arial"/>
          <w:color w:val="010000"/>
          <w:sz w:val="20"/>
        </w:rPr>
        <w:t xml:space="preserve">Registration Certificate </w:t>
      </w:r>
      <w:r w:rsidR="00E26D43" w:rsidRPr="00AA2333">
        <w:rPr>
          <w:rFonts w:ascii="Arial" w:hAnsi="Arial" w:cs="Arial"/>
          <w:color w:val="010000"/>
          <w:sz w:val="20"/>
        </w:rPr>
        <w:t xml:space="preserve">No. 0100108007 issued by the Hanoi </w:t>
      </w:r>
      <w:r w:rsidR="00BB4A01" w:rsidRPr="00AA2333">
        <w:rPr>
          <w:rFonts w:ascii="Arial" w:hAnsi="Arial" w:cs="Arial"/>
          <w:color w:val="010000"/>
          <w:sz w:val="20"/>
        </w:rPr>
        <w:t>Authority for</w:t>
      </w:r>
      <w:r w:rsidR="00E26D43" w:rsidRPr="00AA2333">
        <w:rPr>
          <w:rFonts w:ascii="Arial" w:hAnsi="Arial" w:cs="Arial"/>
          <w:color w:val="010000"/>
          <w:sz w:val="20"/>
        </w:rPr>
        <w:t xml:space="preserve"> Planning and Investment on April 27, 2006, with the 7th amendment issued on April 24, 2024.</w:t>
      </w:r>
    </w:p>
    <w:p w14:paraId="00000006" w14:textId="3FA39B99" w:rsidR="00A71BF0" w:rsidRPr="00AA2333" w:rsidRDefault="004F67BD" w:rsidP="00693C0C">
      <w:pPr>
        <w:numPr>
          <w:ilvl w:val="0"/>
          <w:numId w:val="1"/>
        </w:numPr>
        <w:pBdr>
          <w:top w:val="nil"/>
          <w:left w:val="nil"/>
          <w:bottom w:val="nil"/>
          <w:right w:val="nil"/>
          <w:between w:val="nil"/>
        </w:pBdr>
        <w:tabs>
          <w:tab w:val="left" w:pos="432"/>
          <w:tab w:val="left" w:pos="1194"/>
        </w:tabs>
        <w:spacing w:after="120" w:line="360" w:lineRule="auto"/>
        <w:rPr>
          <w:rFonts w:ascii="Arial" w:eastAsia="Arial" w:hAnsi="Arial" w:cs="Arial"/>
          <w:color w:val="010000"/>
          <w:sz w:val="20"/>
          <w:szCs w:val="20"/>
        </w:rPr>
      </w:pPr>
      <w:r w:rsidRPr="00AA2333">
        <w:rPr>
          <w:rFonts w:ascii="Arial" w:hAnsi="Arial" w:cs="Arial"/>
          <w:color w:val="010000"/>
          <w:sz w:val="20"/>
        </w:rPr>
        <w:t xml:space="preserve">Annual </w:t>
      </w:r>
      <w:r w:rsidR="00E26D43" w:rsidRPr="00AA2333">
        <w:rPr>
          <w:rFonts w:ascii="Arial" w:hAnsi="Arial" w:cs="Arial"/>
          <w:color w:val="010000"/>
          <w:sz w:val="20"/>
        </w:rPr>
        <w:t xml:space="preserve">General Mandate 2024 No. 08/NQ-DHDCD dated March 28, 2024; Minutes of the Annual General Meeting of Shareholders 2024 No. 08/DHDCD-BB dated March 28, 2024; and Proposal No. 05/HDQT-VNX dated March 6, 2024, regarding the approval of the plan to offer additional shares to existing shareholders at the </w:t>
      </w:r>
      <w:r w:rsidRPr="00AA2333">
        <w:rPr>
          <w:rFonts w:ascii="Arial" w:hAnsi="Arial" w:cs="Arial"/>
          <w:color w:val="010000"/>
          <w:sz w:val="20"/>
        </w:rPr>
        <w:t>ownership rate of</w:t>
      </w:r>
      <w:r w:rsidR="00E26D43" w:rsidRPr="00AA2333">
        <w:rPr>
          <w:rFonts w:ascii="Arial" w:hAnsi="Arial" w:cs="Arial"/>
          <w:color w:val="010000"/>
          <w:sz w:val="20"/>
        </w:rPr>
        <w:t xml:space="preserve"> shares through public securities offering in 2024;</w:t>
      </w:r>
    </w:p>
    <w:p w14:paraId="00000007" w14:textId="77777777" w:rsidR="00A71BF0" w:rsidRPr="00AA2333" w:rsidRDefault="00E26D43" w:rsidP="00693C0C">
      <w:pPr>
        <w:numPr>
          <w:ilvl w:val="0"/>
          <w:numId w:val="1"/>
        </w:numPr>
        <w:pBdr>
          <w:top w:val="nil"/>
          <w:left w:val="nil"/>
          <w:bottom w:val="nil"/>
          <w:right w:val="nil"/>
          <w:between w:val="nil"/>
        </w:pBdr>
        <w:tabs>
          <w:tab w:val="left" w:pos="432"/>
          <w:tab w:val="left" w:pos="1220"/>
        </w:tabs>
        <w:spacing w:after="120" w:line="360" w:lineRule="auto"/>
        <w:rPr>
          <w:rFonts w:ascii="Arial" w:eastAsia="Arial" w:hAnsi="Arial" w:cs="Arial"/>
          <w:color w:val="010000"/>
          <w:sz w:val="20"/>
          <w:szCs w:val="20"/>
        </w:rPr>
      </w:pPr>
      <w:r w:rsidRPr="00AA2333">
        <w:rPr>
          <w:rFonts w:ascii="Arial" w:hAnsi="Arial" w:cs="Arial"/>
          <w:color w:val="010000"/>
          <w:sz w:val="20"/>
        </w:rPr>
        <w:t>Prospectus for the public offering of additional shares;</w:t>
      </w:r>
    </w:p>
    <w:p w14:paraId="00000008" w14:textId="3B164400" w:rsidR="00A71BF0" w:rsidRPr="00AA2333" w:rsidRDefault="00E26D43" w:rsidP="00693C0C">
      <w:pPr>
        <w:numPr>
          <w:ilvl w:val="0"/>
          <w:numId w:val="1"/>
        </w:numPr>
        <w:pBdr>
          <w:top w:val="nil"/>
          <w:left w:val="nil"/>
          <w:bottom w:val="nil"/>
          <w:right w:val="nil"/>
          <w:between w:val="nil"/>
        </w:pBdr>
        <w:tabs>
          <w:tab w:val="left" w:pos="432"/>
          <w:tab w:val="left" w:pos="1234"/>
        </w:tabs>
        <w:spacing w:after="120" w:line="360" w:lineRule="auto"/>
        <w:rPr>
          <w:rFonts w:ascii="Arial" w:eastAsia="Arial" w:hAnsi="Arial" w:cs="Arial"/>
          <w:color w:val="010000"/>
          <w:sz w:val="20"/>
          <w:szCs w:val="20"/>
        </w:rPr>
      </w:pPr>
      <w:r w:rsidRPr="00AA2333">
        <w:rPr>
          <w:rFonts w:ascii="Arial" w:hAnsi="Arial" w:cs="Arial"/>
          <w:color w:val="010000"/>
          <w:sz w:val="20"/>
        </w:rPr>
        <w:t xml:space="preserve">Charter of Organization and Operation of </w:t>
      </w:r>
      <w:r w:rsidR="004F67BD" w:rsidRPr="00AA2333">
        <w:rPr>
          <w:rFonts w:ascii="Arial" w:hAnsi="Arial" w:cs="Arial"/>
          <w:color w:val="010000"/>
          <w:sz w:val="20"/>
        </w:rPr>
        <w:t>Vietnam National Trade Fair and Advertising Company</w:t>
      </w:r>
      <w:r w:rsidRPr="00AA2333">
        <w:rPr>
          <w:rFonts w:ascii="Arial" w:hAnsi="Arial" w:cs="Arial"/>
          <w:color w:val="010000"/>
          <w:sz w:val="20"/>
        </w:rPr>
        <w:t>;</w:t>
      </w:r>
    </w:p>
    <w:p w14:paraId="00000009" w14:textId="4858AA2E" w:rsidR="00A71BF0" w:rsidRPr="00AA2333" w:rsidRDefault="00E26D43" w:rsidP="00693C0C">
      <w:pPr>
        <w:numPr>
          <w:ilvl w:val="0"/>
          <w:numId w:val="1"/>
        </w:numPr>
        <w:pBdr>
          <w:top w:val="nil"/>
          <w:left w:val="nil"/>
          <w:bottom w:val="nil"/>
          <w:right w:val="nil"/>
          <w:between w:val="nil"/>
        </w:pBdr>
        <w:tabs>
          <w:tab w:val="left" w:pos="432"/>
          <w:tab w:val="left" w:pos="1234"/>
        </w:tabs>
        <w:spacing w:after="120" w:line="360" w:lineRule="auto"/>
        <w:rPr>
          <w:rFonts w:ascii="Arial" w:eastAsia="Arial" w:hAnsi="Arial" w:cs="Arial"/>
          <w:color w:val="010000"/>
          <w:sz w:val="20"/>
          <w:szCs w:val="20"/>
        </w:rPr>
      </w:pPr>
      <w:r w:rsidRPr="00AA2333">
        <w:rPr>
          <w:rFonts w:ascii="Arial" w:hAnsi="Arial" w:cs="Arial"/>
          <w:color w:val="010000"/>
          <w:sz w:val="20"/>
        </w:rPr>
        <w:t>Audited Financial Statements 2022,</w:t>
      </w:r>
      <w:r w:rsidR="004F67BD" w:rsidRPr="00AA2333">
        <w:rPr>
          <w:rFonts w:ascii="Arial" w:hAnsi="Arial" w:cs="Arial"/>
          <w:color w:val="010000"/>
          <w:sz w:val="20"/>
          <w:lang w:val="vi-VN"/>
        </w:rPr>
        <w:t xml:space="preserve"> </w:t>
      </w:r>
      <w:r w:rsidR="004F67BD" w:rsidRPr="00AA2333">
        <w:rPr>
          <w:rFonts w:ascii="Arial" w:hAnsi="Arial" w:cs="Arial"/>
          <w:color w:val="010000"/>
          <w:sz w:val="20"/>
        </w:rPr>
        <w:t>Audited Financial Statements</w:t>
      </w:r>
      <w:r w:rsidRPr="00AA2333">
        <w:rPr>
          <w:rFonts w:ascii="Arial" w:hAnsi="Arial" w:cs="Arial"/>
          <w:color w:val="010000"/>
          <w:sz w:val="20"/>
        </w:rPr>
        <w:t xml:space="preserve"> 2023; Financial Statements for Q1/2024;</w:t>
      </w:r>
    </w:p>
    <w:p w14:paraId="0000000A" w14:textId="5B1835C3" w:rsidR="00A71BF0" w:rsidRPr="00AA2333" w:rsidRDefault="00E26D43" w:rsidP="00693C0C">
      <w:pPr>
        <w:numPr>
          <w:ilvl w:val="0"/>
          <w:numId w:val="1"/>
        </w:numPr>
        <w:pBdr>
          <w:top w:val="nil"/>
          <w:left w:val="nil"/>
          <w:bottom w:val="nil"/>
          <w:right w:val="nil"/>
          <w:between w:val="nil"/>
        </w:pBdr>
        <w:tabs>
          <w:tab w:val="left" w:pos="432"/>
          <w:tab w:val="left" w:pos="1234"/>
        </w:tabs>
        <w:spacing w:after="120" w:line="360" w:lineRule="auto"/>
        <w:rPr>
          <w:rFonts w:ascii="Arial" w:eastAsia="Arial" w:hAnsi="Arial" w:cs="Arial"/>
          <w:color w:val="010000"/>
          <w:sz w:val="20"/>
          <w:szCs w:val="20"/>
        </w:rPr>
      </w:pPr>
      <w:r w:rsidRPr="00AA2333">
        <w:rPr>
          <w:rFonts w:ascii="Arial" w:hAnsi="Arial" w:cs="Arial"/>
          <w:color w:val="010000"/>
          <w:sz w:val="20"/>
        </w:rPr>
        <w:t xml:space="preserve">Consulting contract No. 165/2023/FPTS/FCF-HN/VNX signed on December 18, 2023, between </w:t>
      </w:r>
      <w:r w:rsidR="005733D8" w:rsidRPr="00AA2333">
        <w:rPr>
          <w:rFonts w:ascii="Arial" w:hAnsi="Arial" w:cs="Arial"/>
          <w:color w:val="010000"/>
          <w:sz w:val="20"/>
        </w:rPr>
        <w:t xml:space="preserve">Vietnam National Trade Fair and Advertising Company </w:t>
      </w:r>
      <w:r w:rsidRPr="00AA2333">
        <w:rPr>
          <w:rFonts w:ascii="Arial" w:hAnsi="Arial" w:cs="Arial"/>
          <w:color w:val="010000"/>
          <w:sz w:val="20"/>
        </w:rPr>
        <w:t>and FPT Securities Joint Stock Company;</w:t>
      </w:r>
    </w:p>
    <w:p w14:paraId="0000000B" w14:textId="77777777" w:rsidR="00A71BF0" w:rsidRPr="00AA2333" w:rsidRDefault="00E26D43" w:rsidP="00693C0C">
      <w:pPr>
        <w:numPr>
          <w:ilvl w:val="0"/>
          <w:numId w:val="1"/>
        </w:numPr>
        <w:pBdr>
          <w:top w:val="nil"/>
          <w:left w:val="nil"/>
          <w:bottom w:val="nil"/>
          <w:right w:val="nil"/>
          <w:between w:val="nil"/>
        </w:pBdr>
        <w:tabs>
          <w:tab w:val="left" w:pos="432"/>
          <w:tab w:val="left" w:pos="1220"/>
        </w:tabs>
        <w:spacing w:after="120" w:line="360" w:lineRule="auto"/>
        <w:rPr>
          <w:rFonts w:ascii="Arial" w:eastAsia="Arial" w:hAnsi="Arial" w:cs="Arial"/>
          <w:color w:val="010000"/>
          <w:sz w:val="20"/>
          <w:szCs w:val="20"/>
        </w:rPr>
      </w:pPr>
      <w:r w:rsidRPr="00AA2333">
        <w:rPr>
          <w:rFonts w:ascii="Arial" w:hAnsi="Arial" w:cs="Arial"/>
          <w:color w:val="010000"/>
          <w:sz w:val="20"/>
        </w:rPr>
        <w:t>Board Resolution No. 17/NQ-HDQT dated May 14, 2024;</w:t>
      </w:r>
    </w:p>
    <w:p w14:paraId="0000000C" w14:textId="77777777" w:rsidR="00A71BF0" w:rsidRPr="00AA2333" w:rsidRDefault="00E26D43" w:rsidP="00693C0C">
      <w:pPr>
        <w:numPr>
          <w:ilvl w:val="0"/>
          <w:numId w:val="1"/>
        </w:numPr>
        <w:pBdr>
          <w:top w:val="nil"/>
          <w:left w:val="nil"/>
          <w:bottom w:val="nil"/>
          <w:right w:val="nil"/>
          <w:between w:val="nil"/>
        </w:pBdr>
        <w:tabs>
          <w:tab w:val="left" w:pos="432"/>
          <w:tab w:val="left" w:pos="1234"/>
        </w:tabs>
        <w:spacing w:after="120" w:line="360" w:lineRule="auto"/>
        <w:rPr>
          <w:rFonts w:ascii="Arial" w:eastAsia="Arial" w:hAnsi="Arial" w:cs="Arial"/>
          <w:color w:val="010000"/>
          <w:sz w:val="20"/>
          <w:szCs w:val="20"/>
        </w:rPr>
      </w:pPr>
      <w:r w:rsidRPr="00AA2333">
        <w:rPr>
          <w:rFonts w:ascii="Arial" w:hAnsi="Arial" w:cs="Arial"/>
          <w:color w:val="010000"/>
          <w:sz w:val="20"/>
        </w:rPr>
        <w:t>Confirmation document from the bank regarding the opening of a blocked account for receiving funds to purchase shares, along with the authorized letter confirming the opening of the blocked account from the Joint Stock Commercial Bank for Foreign Trade of Vietnam.</w:t>
      </w:r>
    </w:p>
    <w:p w14:paraId="0000000D" w14:textId="684D0194" w:rsidR="00A71BF0" w:rsidRPr="00AA2333" w:rsidRDefault="00E26D43" w:rsidP="00693C0C">
      <w:pPr>
        <w:numPr>
          <w:ilvl w:val="0"/>
          <w:numId w:val="1"/>
        </w:numPr>
        <w:pBdr>
          <w:top w:val="nil"/>
          <w:left w:val="nil"/>
          <w:bottom w:val="nil"/>
          <w:right w:val="nil"/>
          <w:between w:val="nil"/>
        </w:pBdr>
        <w:tabs>
          <w:tab w:val="left" w:pos="432"/>
          <w:tab w:val="left" w:pos="1330"/>
        </w:tabs>
        <w:spacing w:after="120" w:line="360" w:lineRule="auto"/>
        <w:rPr>
          <w:rFonts w:ascii="Arial" w:eastAsia="Arial" w:hAnsi="Arial" w:cs="Arial"/>
          <w:color w:val="010000"/>
          <w:sz w:val="20"/>
          <w:szCs w:val="20"/>
        </w:rPr>
      </w:pPr>
      <w:r w:rsidRPr="00AA2333">
        <w:rPr>
          <w:rFonts w:ascii="Arial" w:hAnsi="Arial" w:cs="Arial"/>
          <w:color w:val="010000"/>
          <w:sz w:val="20"/>
        </w:rPr>
        <w:t xml:space="preserve">Commitment letter from the Board of Directors to implement the registration of additional share transactions from the offering on the </w:t>
      </w:r>
      <w:r w:rsidR="005733D8" w:rsidRPr="00AA2333">
        <w:rPr>
          <w:rFonts w:ascii="Arial" w:hAnsi="Arial" w:cs="Arial"/>
          <w:color w:val="010000"/>
          <w:sz w:val="20"/>
          <w:lang w:val="vi-VN"/>
        </w:rPr>
        <w:t xml:space="preserve">securities </w:t>
      </w:r>
      <w:r w:rsidRPr="00AA2333">
        <w:rPr>
          <w:rFonts w:ascii="Arial" w:hAnsi="Arial" w:cs="Arial"/>
          <w:color w:val="010000"/>
          <w:sz w:val="20"/>
        </w:rPr>
        <w:t>trading system.</w:t>
      </w:r>
    </w:p>
    <w:p w14:paraId="0000000E" w14:textId="1774D7AF" w:rsidR="00A71BF0" w:rsidRPr="00AA2333" w:rsidRDefault="00E26D43" w:rsidP="00693C0C">
      <w:pPr>
        <w:numPr>
          <w:ilvl w:val="0"/>
          <w:numId w:val="1"/>
        </w:numPr>
        <w:pBdr>
          <w:top w:val="nil"/>
          <w:left w:val="nil"/>
          <w:bottom w:val="nil"/>
          <w:right w:val="nil"/>
          <w:between w:val="nil"/>
        </w:pBdr>
        <w:tabs>
          <w:tab w:val="left" w:pos="432"/>
          <w:tab w:val="left" w:pos="1334"/>
        </w:tabs>
        <w:spacing w:after="120" w:line="360" w:lineRule="auto"/>
        <w:rPr>
          <w:rFonts w:ascii="Arial" w:eastAsia="Arial" w:hAnsi="Arial" w:cs="Arial"/>
          <w:color w:val="010000"/>
          <w:sz w:val="20"/>
          <w:szCs w:val="20"/>
        </w:rPr>
      </w:pPr>
      <w:r w:rsidRPr="00AA2333">
        <w:rPr>
          <w:rFonts w:ascii="Arial" w:hAnsi="Arial" w:cs="Arial"/>
          <w:color w:val="010000"/>
          <w:sz w:val="20"/>
        </w:rPr>
        <w:t>The commitment letter of the Company regarding com</w:t>
      </w:r>
      <w:r w:rsidR="005733D8" w:rsidRPr="00AA2333">
        <w:rPr>
          <w:rFonts w:ascii="Arial" w:hAnsi="Arial" w:cs="Arial"/>
          <w:color w:val="010000"/>
          <w:sz w:val="20"/>
        </w:rPr>
        <w:t xml:space="preserve">pliance with the provisions at </w:t>
      </w:r>
      <w:r w:rsidR="005733D8" w:rsidRPr="00AA2333">
        <w:rPr>
          <w:rFonts w:ascii="Arial" w:hAnsi="Arial" w:cs="Arial"/>
          <w:color w:val="010000"/>
          <w:sz w:val="20"/>
          <w:lang w:val="vi-VN"/>
        </w:rPr>
        <w:t>P</w:t>
      </w:r>
      <w:r w:rsidR="005733D8" w:rsidRPr="00AA2333">
        <w:rPr>
          <w:rFonts w:ascii="Arial" w:hAnsi="Arial" w:cs="Arial"/>
          <w:color w:val="010000"/>
          <w:sz w:val="20"/>
        </w:rPr>
        <w:t xml:space="preserve">oint e, </w:t>
      </w:r>
      <w:r w:rsidR="005733D8" w:rsidRPr="00AA2333">
        <w:rPr>
          <w:rFonts w:ascii="Arial" w:hAnsi="Arial" w:cs="Arial"/>
          <w:color w:val="010000"/>
          <w:sz w:val="20"/>
          <w:lang w:val="vi-VN"/>
        </w:rPr>
        <w:t>C</w:t>
      </w:r>
      <w:r w:rsidRPr="00AA2333">
        <w:rPr>
          <w:rFonts w:ascii="Arial" w:hAnsi="Arial" w:cs="Arial"/>
          <w:color w:val="010000"/>
          <w:sz w:val="20"/>
        </w:rPr>
        <w:t>lause 1, Article 15 of the Law</w:t>
      </w:r>
      <w:r w:rsidR="005733D8" w:rsidRPr="00AA2333">
        <w:rPr>
          <w:rFonts w:ascii="Arial" w:hAnsi="Arial" w:cs="Arial"/>
          <w:color w:val="010000"/>
          <w:sz w:val="20"/>
          <w:lang w:val="vi-VN"/>
        </w:rPr>
        <w:t xml:space="preserve"> on </w:t>
      </w:r>
      <w:r w:rsidR="005733D8" w:rsidRPr="00AA2333">
        <w:rPr>
          <w:rFonts w:ascii="Arial" w:hAnsi="Arial" w:cs="Arial"/>
          <w:color w:val="010000"/>
          <w:sz w:val="20"/>
        </w:rPr>
        <w:t>Securities</w:t>
      </w:r>
      <w:r w:rsidRPr="00AA2333">
        <w:rPr>
          <w:rFonts w:ascii="Arial" w:hAnsi="Arial" w:cs="Arial"/>
          <w:color w:val="010000"/>
          <w:sz w:val="20"/>
        </w:rPr>
        <w:t>;</w:t>
      </w:r>
    </w:p>
    <w:p w14:paraId="0000000F" w14:textId="77777777" w:rsidR="00A71BF0" w:rsidRPr="00AA2333" w:rsidRDefault="00E26D43" w:rsidP="00693C0C">
      <w:pPr>
        <w:numPr>
          <w:ilvl w:val="0"/>
          <w:numId w:val="1"/>
        </w:numPr>
        <w:pBdr>
          <w:top w:val="nil"/>
          <w:left w:val="nil"/>
          <w:bottom w:val="nil"/>
          <w:right w:val="nil"/>
          <w:between w:val="nil"/>
        </w:pBdr>
        <w:tabs>
          <w:tab w:val="left" w:pos="432"/>
          <w:tab w:val="left" w:pos="1034"/>
        </w:tabs>
        <w:spacing w:after="120" w:line="360" w:lineRule="auto"/>
        <w:rPr>
          <w:rFonts w:ascii="Arial" w:eastAsia="Arial" w:hAnsi="Arial" w:cs="Arial"/>
          <w:color w:val="010000"/>
          <w:sz w:val="20"/>
          <w:szCs w:val="20"/>
        </w:rPr>
      </w:pPr>
      <w:r w:rsidRPr="00AA2333">
        <w:rPr>
          <w:rFonts w:ascii="Arial" w:hAnsi="Arial" w:cs="Arial"/>
          <w:color w:val="010000"/>
          <w:sz w:val="20"/>
        </w:rPr>
        <w:t>Official Dispatch No. 129/UBCK-PTTT dated January 5, 2024, from the State Securities Commission on the Company's notice of the maximum foreign ownership rate.</w:t>
      </w:r>
    </w:p>
    <w:p w14:paraId="00000010" w14:textId="27F45C66" w:rsidR="00A71BF0" w:rsidRPr="00AA2333" w:rsidRDefault="005733D8" w:rsidP="00693C0C">
      <w:pPr>
        <w:numPr>
          <w:ilvl w:val="0"/>
          <w:numId w:val="1"/>
        </w:numPr>
        <w:pBdr>
          <w:top w:val="nil"/>
          <w:left w:val="nil"/>
          <w:bottom w:val="nil"/>
          <w:right w:val="nil"/>
          <w:between w:val="nil"/>
        </w:pBdr>
        <w:tabs>
          <w:tab w:val="left" w:pos="432"/>
          <w:tab w:val="left" w:pos="1034"/>
        </w:tabs>
        <w:spacing w:after="120" w:line="360" w:lineRule="auto"/>
        <w:rPr>
          <w:rFonts w:ascii="Arial" w:eastAsia="Arial" w:hAnsi="Arial" w:cs="Arial"/>
          <w:color w:val="010000"/>
          <w:sz w:val="20"/>
          <w:szCs w:val="20"/>
        </w:rPr>
      </w:pPr>
      <w:r w:rsidRPr="00AA2333">
        <w:rPr>
          <w:rFonts w:ascii="Arial" w:hAnsi="Arial" w:cs="Arial"/>
          <w:color w:val="010000"/>
          <w:sz w:val="20"/>
          <w:lang w:val="vi-VN"/>
        </w:rPr>
        <w:t xml:space="preserve">Related dossiers </w:t>
      </w:r>
      <w:r w:rsidR="00E26D43" w:rsidRPr="00AA2333">
        <w:rPr>
          <w:rFonts w:ascii="Arial" w:hAnsi="Arial" w:cs="Arial"/>
          <w:color w:val="010000"/>
          <w:sz w:val="20"/>
        </w:rPr>
        <w:t xml:space="preserve">to the plan for using </w:t>
      </w:r>
      <w:r w:rsidRPr="00AA2333">
        <w:rPr>
          <w:rFonts w:ascii="Arial" w:hAnsi="Arial" w:cs="Arial"/>
          <w:color w:val="010000"/>
          <w:sz w:val="20"/>
          <w:lang w:val="vi-VN"/>
        </w:rPr>
        <w:t xml:space="preserve">capital </w:t>
      </w:r>
      <w:r w:rsidR="00E26D43" w:rsidRPr="00AA2333">
        <w:rPr>
          <w:rFonts w:ascii="Arial" w:hAnsi="Arial" w:cs="Arial"/>
          <w:color w:val="010000"/>
          <w:sz w:val="20"/>
        </w:rPr>
        <w:t>of additional shares for existing shareholders at the ownership</w:t>
      </w:r>
      <w:r w:rsidRPr="00AA2333">
        <w:rPr>
          <w:rFonts w:ascii="Arial" w:hAnsi="Arial" w:cs="Arial"/>
          <w:color w:val="010000"/>
          <w:sz w:val="20"/>
          <w:lang w:val="vi-VN"/>
        </w:rPr>
        <w:t xml:space="preserve"> rate of</w:t>
      </w:r>
      <w:r w:rsidR="00E26D43" w:rsidRPr="00AA2333">
        <w:rPr>
          <w:rFonts w:ascii="Arial" w:hAnsi="Arial" w:cs="Arial"/>
          <w:color w:val="010000"/>
          <w:sz w:val="20"/>
        </w:rPr>
        <w:t xml:space="preserve"> shares through public securities offering.</w:t>
      </w:r>
    </w:p>
    <w:p w14:paraId="00000011" w14:textId="08A272C7" w:rsidR="00A71BF0" w:rsidRPr="00AA2333" w:rsidRDefault="00E26D43" w:rsidP="00693C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A2333">
        <w:rPr>
          <w:rFonts w:ascii="Arial" w:hAnsi="Arial" w:cs="Arial"/>
          <w:color w:val="010000"/>
          <w:sz w:val="20"/>
        </w:rPr>
        <w:t>‎‎Article 2. This Resolution takes effect fro</w:t>
      </w:r>
      <w:r w:rsidR="005733D8" w:rsidRPr="00AA2333">
        <w:rPr>
          <w:rFonts w:ascii="Arial" w:hAnsi="Arial" w:cs="Arial"/>
          <w:color w:val="010000"/>
          <w:sz w:val="20"/>
        </w:rPr>
        <w:t xml:space="preserve">m the date of its signing. </w:t>
      </w:r>
      <w:r w:rsidR="005733D8" w:rsidRPr="00AA2333">
        <w:rPr>
          <w:rFonts w:ascii="Arial" w:hAnsi="Arial" w:cs="Arial"/>
          <w:color w:val="010000"/>
          <w:sz w:val="20"/>
          <w:lang w:val="vi-VN"/>
        </w:rPr>
        <w:t>M</w:t>
      </w:r>
      <w:r w:rsidRPr="00AA2333">
        <w:rPr>
          <w:rFonts w:ascii="Arial" w:hAnsi="Arial" w:cs="Arial"/>
          <w:color w:val="010000"/>
          <w:sz w:val="20"/>
        </w:rPr>
        <w:t>embers of the Board of Directors, the General Manager of the Company, the Deputy General Manager, the departments/units, and related individuals shall be responsible for implementing this Resolution.</w:t>
      </w:r>
    </w:p>
    <w:p w14:paraId="0516B2B5" w14:textId="77777777" w:rsidR="00AA2333" w:rsidRPr="00AA2333" w:rsidRDefault="00AA233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AA2333" w:rsidRPr="00AA2333" w:rsidSect="00693C0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10B24"/>
    <w:multiLevelType w:val="multilevel"/>
    <w:tmpl w:val="1C2664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F0"/>
    <w:rsid w:val="004F67BD"/>
    <w:rsid w:val="005733D8"/>
    <w:rsid w:val="00693C0C"/>
    <w:rsid w:val="00A71BF0"/>
    <w:rsid w:val="00AA2333"/>
    <w:rsid w:val="00BB4A01"/>
    <w:rsid w:val="00E26D4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EF319"/>
  <w15:docId w15:val="{1D605248-FEE0-4B5D-82F6-3B8BEEC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iCs/>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customStyle="1" w:styleId="Tiu20">
    <w:name w:val="Tiêu đề #2"/>
    <w:basedOn w:val="Normal"/>
    <w:link w:val="Tiu2"/>
    <w:pPr>
      <w:spacing w:line="269" w:lineRule="auto"/>
      <w:ind w:firstLine="540"/>
      <w:outlineLvl w:val="1"/>
    </w:pPr>
    <w:rPr>
      <w:rFonts w:ascii="Times New Roman" w:eastAsia="Times New Roman" w:hAnsi="Times New Roman" w:cs="Times New Roman"/>
      <w:b/>
      <w:bCs/>
      <w:i/>
      <w:iCs/>
      <w:sz w:val="22"/>
      <w:szCs w:val="22"/>
    </w:rPr>
  </w:style>
  <w:style w:type="paragraph" w:customStyle="1" w:styleId="Vnbnnidung20">
    <w:name w:val="Văn bản nội dung (2)"/>
    <w:basedOn w:val="Normal"/>
    <w:link w:val="Vnbnnidung2"/>
    <w:pPr>
      <w:spacing w:line="218" w:lineRule="auto"/>
      <w:ind w:left="-470" w:hanging="470"/>
    </w:pPr>
    <w:rPr>
      <w:rFonts w:ascii="Times New Roman" w:eastAsia="Times New Roman" w:hAnsi="Times New Roman" w:cs="Times New Roman"/>
      <w:color w:val="FF0000"/>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55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NndwFeoaAb+CaQnkG0318vDxDg==">CgMxLjA4AHIhMTdVaXlDSFZjNVQwZlo3R1BmV3pScG9BSk43cFlHQXpF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406</Words>
  <Characters>2333</Characters>
  <Application>Microsoft Office Word</Application>
  <DocSecurity>0</DocSecurity>
  <Lines>33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2024-05-15T03:10:00Z</dcterms:created>
  <dcterms:modified xsi:type="dcterms:W3CDTF">2024-05-16T01:48:00Z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251ae2461e04bff67e88b22b9b35376cede24c7c3a1178dfa6cea2d02c48c7cc</vt:lpwstr>
  </property>
</Properties>
</file>