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94D32A1" w:rsidR="00F1006E" w:rsidRPr="00751644" w:rsidRDefault="0010241A" w:rsidP="00A53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51644">
        <w:rPr>
          <w:rFonts w:ascii="Arial" w:hAnsi="Arial" w:cs="Arial"/>
          <w:b/>
          <w:color w:val="010000"/>
          <w:sz w:val="20"/>
        </w:rPr>
        <w:t>HTC: Board Resolution</w:t>
      </w:r>
    </w:p>
    <w:p w14:paraId="00000002" w14:textId="77777777" w:rsidR="00F1006E" w:rsidRPr="00751644" w:rsidRDefault="0010241A" w:rsidP="00A53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644">
        <w:rPr>
          <w:rFonts w:ascii="Arial" w:hAnsi="Arial" w:cs="Arial"/>
          <w:color w:val="010000"/>
          <w:sz w:val="20"/>
        </w:rPr>
        <w:t>On May 15, 2024, HocMon Trade JSC announced Resolution No. 09/2024/NQ-HDQT as follows:</w:t>
      </w:r>
    </w:p>
    <w:p w14:paraId="00000003" w14:textId="77777777" w:rsidR="00F1006E" w:rsidRPr="00751644" w:rsidRDefault="0010241A" w:rsidP="00A53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644">
        <w:rPr>
          <w:rFonts w:ascii="Arial" w:hAnsi="Arial" w:cs="Arial"/>
          <w:color w:val="010000"/>
          <w:sz w:val="20"/>
        </w:rPr>
        <w:t xml:space="preserve">‎‎Article 1. Approve the bonus plan in 2023 for members of the Board of Directors, the Supervisory Board, and the Secretariat of the Company according to </w:t>
      </w:r>
      <w:bookmarkStart w:id="0" w:name="_GoBack"/>
      <w:bookmarkEnd w:id="0"/>
      <w:r w:rsidRPr="00751644">
        <w:rPr>
          <w:rFonts w:ascii="Arial" w:hAnsi="Arial" w:cs="Arial"/>
          <w:color w:val="010000"/>
          <w:sz w:val="20"/>
        </w:rPr>
        <w:t>Proposal No. 18/HDQT-TTr dated May 8, 2024 of the Board of Directors of the Company.</w:t>
      </w:r>
    </w:p>
    <w:p w14:paraId="00000004" w14:textId="2A239C32" w:rsidR="00F1006E" w:rsidRPr="00751644" w:rsidRDefault="0010241A" w:rsidP="00A53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644">
        <w:rPr>
          <w:rFonts w:ascii="Arial" w:hAnsi="Arial" w:cs="Arial"/>
          <w:color w:val="010000"/>
          <w:sz w:val="20"/>
        </w:rPr>
        <w:t>‎‎Article 2. Approve authorizing the Chair of the Board of Directors and the Manager of the Company (the legal representative) to implement legal procedures related to the above contents.</w:t>
      </w:r>
    </w:p>
    <w:p w14:paraId="00000005" w14:textId="77777777" w:rsidR="00F1006E" w:rsidRPr="00751644" w:rsidRDefault="0010241A" w:rsidP="00A53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644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3880449C" w:rsidR="00F1006E" w:rsidRPr="00751644" w:rsidRDefault="0010241A" w:rsidP="00A53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1644">
        <w:rPr>
          <w:rFonts w:ascii="Arial" w:hAnsi="Arial" w:cs="Arial"/>
          <w:color w:val="010000"/>
          <w:sz w:val="20"/>
        </w:rPr>
        <w:t xml:space="preserve">‎‎Article 4. Members of the Board of Directors, the Board of Management, the Chief Accountant, and Heads of professional departments are responsible for implementing this Resolution. </w:t>
      </w:r>
    </w:p>
    <w:p w14:paraId="28ACCFAA" w14:textId="77777777" w:rsidR="00A53514" w:rsidRPr="00751644" w:rsidRDefault="00A53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53514" w:rsidRPr="00751644" w:rsidSect="00796B3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E"/>
    <w:rsid w:val="0010241A"/>
    <w:rsid w:val="00751644"/>
    <w:rsid w:val="00796B3B"/>
    <w:rsid w:val="00A53514"/>
    <w:rsid w:val="00F1006E"/>
    <w:rsid w:val="00F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6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left="1990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left="1990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By1b61GBEMakgMONoy7pfrbL8w==">CgMxLjA4AHIhMUY1TmNyUFhQWEZ1clFGeGotQ1lIaEI5dTBMWFFQRnJJ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2024-05-16T03:15:00Z</dcterms:created>
  <dcterms:modified xsi:type="dcterms:W3CDTF">2024-05-17T07:33:00Z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816353293ef9eca45138391a24f98fa567fad4b18032cb29779914e4a1a6d9eb</vt:lpwstr>
  </property>
</Properties>
</file>