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5C43B7">
        <w:rPr>
          <w:rFonts w:ascii="Arial" w:hAnsi="Arial" w:cs="Arial"/>
          <w:b/>
          <w:color w:val="010000"/>
          <w:sz w:val="20"/>
        </w:rPr>
        <w:t>BAB: Board Resolution</w:t>
      </w:r>
    </w:p>
    <w:p w14:paraId="00000002" w14:textId="6048A67C"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On April 24, 2024, Bac A Commercial Joint Stock Bank announced Resolution No. 65/2024/NQ-HDQT on implementing the plan to offer 89,5</w:t>
      </w:r>
      <w:bookmarkStart w:id="0" w:name="_GoBack"/>
      <w:bookmarkEnd w:id="0"/>
      <w:r w:rsidRPr="005C43B7">
        <w:rPr>
          <w:rFonts w:ascii="Arial" w:hAnsi="Arial" w:cs="Arial"/>
          <w:color w:val="010000"/>
          <w:sz w:val="20"/>
        </w:rPr>
        <w:t>93,364 shares to existing shareholders according to the new plan on charter capital increase for phase 2 of 2023, approved by the General Meeting of Shareholders of BAC A BANK as follows:</w:t>
      </w:r>
    </w:p>
    <w:p w14:paraId="00000003"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‎‎Article 1. Approve the implementation of the plan to publicly offer 89,593,364 shares to existing shareholders according to the General Mandate 2023 No. 02/2023/NQ-DHDCD dated April 22, 2023.</w:t>
      </w:r>
    </w:p>
    <w:p w14:paraId="00000004"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(Details of the offering plan are stated in Appendix 1 attached to this Resolution).</w:t>
      </w:r>
    </w:p>
    <w:p w14:paraId="00000005"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‎‎Article 2. Approve the registration and additional depository of shares at Vietnam Securities Depository and Clearing Corporation and the additional listing of shares at Hanoi Stock Exchange for all successfully offered shares in accordance with the law:</w:t>
      </w:r>
    </w:p>
    <w:p w14:paraId="00000006"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The Board of Directors of BAC A BANK commits to implementing registration, depository, and additional listing procedures for all shares successfully offered at VSDC and HNX after the end of the offering in accordance with the law.</w:t>
      </w:r>
    </w:p>
    <w:p w14:paraId="00000007"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Article 3: Approve the plan to ensure the share issuance complies with regulations on foreign ownership rate:</w:t>
      </w:r>
    </w:p>
    <w:p w14:paraId="00000008"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Pursuant to Official Dispatch No. 3564/UBCK-PTTT dated July 13, 2021 of the State Securities Commission, the maximum foreign ownership rate of BAC A BANK is 30%.</w:t>
      </w:r>
    </w:p>
    <w:p w14:paraId="00000009"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The share ownership rate of foreign investors provided by VSDC according to the list of shareholders recorded on March 26, 2024 is 0.0025%.</w:t>
      </w:r>
    </w:p>
    <w:p w14:paraId="0000000A"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The Board of Directors of BAC A BANK commits to always ensure compliance with regulations on the maximum foreign ownership rate before, during and after the offering, not exceeding 30%. They also commits to always ensure compliance with documents and regulations related to foreign ownership at credit organizations.</w:t>
      </w:r>
    </w:p>
    <w:p w14:paraId="0000000B"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(Details of the plan to ensure and meet the foreign ownership rate in the offering to existing shareholders are according to Appendix 1 attached to this Resolution)</w:t>
      </w:r>
    </w:p>
    <w:p w14:paraId="0000000C"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Article 4: The Board of Directors’ assignment/authorization:</w:t>
      </w:r>
    </w:p>
    <w:p w14:paraId="0000000D" w14:textId="77777777" w:rsidR="00855117" w:rsidRPr="005C43B7" w:rsidRDefault="005C43B7" w:rsidP="00845A22">
      <w:pPr>
        <w:numPr>
          <w:ilvl w:val="0"/>
          <w:numId w:val="1"/>
        </w:numPr>
        <w:pBdr>
          <w:top w:val="nil"/>
          <w:left w:val="nil"/>
          <w:bottom w:val="nil"/>
          <w:right w:val="nil"/>
          <w:between w:val="nil"/>
        </w:pBdr>
        <w:tabs>
          <w:tab w:val="left" w:pos="450"/>
          <w:tab w:val="left" w:pos="2178"/>
        </w:tabs>
        <w:spacing w:after="120" w:line="360" w:lineRule="auto"/>
        <w:jc w:val="both"/>
        <w:rPr>
          <w:rFonts w:ascii="Arial" w:hAnsi="Arial" w:cs="Arial"/>
          <w:color w:val="010000"/>
          <w:sz w:val="20"/>
          <w:szCs w:val="20"/>
        </w:rPr>
      </w:pPr>
      <w:r w:rsidRPr="005C43B7">
        <w:rPr>
          <w:rFonts w:ascii="Arial" w:hAnsi="Arial" w:cs="Arial"/>
          <w:color w:val="010000"/>
          <w:sz w:val="20"/>
        </w:rPr>
        <w:t>Assign/authorize the Vice Chair of the Board of Directors and General Manager of BAC A BANK to: Decide/approve, direct/organize the implementation of necessary duties/tasks, sign and approve all other dossiers/documents, along with amendments, supplements, and replacements related to the offering dossiers (if any and/or necessary) to implement the plan to offer 89,593,364 shares to existing shareholders, ensuring compliance with provisions of current laws and requirements of competent state agencies. Those are included but not limited to the following contents:</w:t>
      </w:r>
    </w:p>
    <w:p w14:paraId="0000000E" w14:textId="77777777" w:rsidR="00855117" w:rsidRPr="005C43B7" w:rsidRDefault="005C43B7" w:rsidP="00845A22">
      <w:pPr>
        <w:numPr>
          <w:ilvl w:val="0"/>
          <w:numId w:val="2"/>
        </w:numPr>
        <w:pBdr>
          <w:top w:val="nil"/>
          <w:left w:val="nil"/>
          <w:bottom w:val="nil"/>
          <w:right w:val="nil"/>
          <w:between w:val="nil"/>
        </w:pBdr>
        <w:tabs>
          <w:tab w:val="left" w:pos="450"/>
          <w:tab w:val="left" w:pos="2178"/>
        </w:tabs>
        <w:spacing w:after="120" w:line="360" w:lineRule="auto"/>
        <w:jc w:val="both"/>
        <w:rPr>
          <w:rFonts w:ascii="Arial" w:hAnsi="Arial" w:cs="Arial"/>
          <w:color w:val="010000"/>
          <w:sz w:val="20"/>
          <w:szCs w:val="20"/>
        </w:rPr>
      </w:pPr>
      <w:r w:rsidRPr="005C43B7">
        <w:rPr>
          <w:rFonts w:ascii="Arial" w:hAnsi="Arial" w:cs="Arial"/>
          <w:color w:val="010000"/>
          <w:sz w:val="20"/>
        </w:rPr>
        <w:t>Decision on time, procedures, organization and implementation of the share offering to existing shareholders;</w:t>
      </w:r>
    </w:p>
    <w:p w14:paraId="0000000F" w14:textId="77777777" w:rsidR="00855117" w:rsidRPr="005C43B7" w:rsidRDefault="005C43B7" w:rsidP="00845A22">
      <w:pPr>
        <w:numPr>
          <w:ilvl w:val="0"/>
          <w:numId w:val="2"/>
        </w:numPr>
        <w:pBdr>
          <w:top w:val="nil"/>
          <w:left w:val="nil"/>
          <w:bottom w:val="nil"/>
          <w:right w:val="nil"/>
          <w:between w:val="nil"/>
        </w:pBdr>
        <w:tabs>
          <w:tab w:val="left" w:pos="450"/>
          <w:tab w:val="left" w:pos="2178"/>
        </w:tabs>
        <w:spacing w:after="120" w:line="360" w:lineRule="auto"/>
        <w:jc w:val="both"/>
        <w:rPr>
          <w:rFonts w:ascii="Arial" w:hAnsi="Arial" w:cs="Arial"/>
          <w:color w:val="010000"/>
          <w:sz w:val="20"/>
          <w:szCs w:val="20"/>
        </w:rPr>
      </w:pPr>
      <w:r w:rsidRPr="005C43B7">
        <w:rPr>
          <w:rFonts w:ascii="Arial" w:hAnsi="Arial" w:cs="Arial"/>
          <w:color w:val="010000"/>
          <w:sz w:val="20"/>
        </w:rPr>
        <w:lastRenderedPageBreak/>
        <w:t>Organization and implementation of the offering plan to ensure that the foreign ownership rate of BAC A BANK after the offering does not exceed 30%, as specified in Document No. 3564/UBCK-PTTT dated July 13, 2021 of the State Securities Committee;</w:t>
      </w:r>
    </w:p>
    <w:p w14:paraId="00000010" w14:textId="77777777" w:rsidR="00855117" w:rsidRPr="005C43B7" w:rsidRDefault="005C43B7" w:rsidP="00845A22">
      <w:pPr>
        <w:numPr>
          <w:ilvl w:val="0"/>
          <w:numId w:val="2"/>
        </w:numPr>
        <w:pBdr>
          <w:top w:val="nil"/>
          <w:left w:val="nil"/>
          <w:bottom w:val="nil"/>
          <w:right w:val="nil"/>
          <w:between w:val="nil"/>
        </w:pBdr>
        <w:tabs>
          <w:tab w:val="left" w:pos="450"/>
          <w:tab w:val="left" w:pos="2178"/>
        </w:tabs>
        <w:spacing w:after="120" w:line="360" w:lineRule="auto"/>
        <w:jc w:val="both"/>
        <w:rPr>
          <w:rFonts w:ascii="Arial" w:hAnsi="Arial" w:cs="Arial"/>
          <w:color w:val="010000"/>
          <w:sz w:val="20"/>
          <w:szCs w:val="20"/>
        </w:rPr>
      </w:pPr>
      <w:r w:rsidRPr="005C43B7">
        <w:rPr>
          <w:rFonts w:ascii="Arial" w:hAnsi="Arial" w:cs="Arial"/>
          <w:color w:val="010000"/>
          <w:sz w:val="20"/>
        </w:rPr>
        <w:t>Based on the practical results of the share offering to existing shareholders, perform the necessary work and sign relevant documents/dossiers to complete capital increase procedures according to the provisions of law, including but not limited to the following procedures: (i) Report the results of the share offering to existing shareholders to the State Securities Commission; (ii) Amend the content of charter capital in the Establishment and Operation License of BAC A BANK; (iii) Register changes to the Bank's charter capital at the business registration agency/agency which updates to the national information system on business registration; (iv) Amend the content of charter capital in the Charter of BAC A BANK in accordance with the new charter capital level after the end of the offering; (v) Register and deposit additional shares of the Bank at Vietnam Securities Depository and Clearing Corporation; (vi) Register for additional listing of the Bank's shares at Hanoi Stock Exchange; and (vii) Other procedures according to the provisions of law;</w:t>
      </w:r>
    </w:p>
    <w:p w14:paraId="00000011" w14:textId="77777777" w:rsidR="00855117" w:rsidRPr="005C43B7" w:rsidRDefault="005C43B7" w:rsidP="00845A22">
      <w:pPr>
        <w:numPr>
          <w:ilvl w:val="0"/>
          <w:numId w:val="2"/>
        </w:numPr>
        <w:pBdr>
          <w:top w:val="nil"/>
          <w:left w:val="nil"/>
          <w:bottom w:val="nil"/>
          <w:right w:val="nil"/>
          <w:between w:val="nil"/>
        </w:pBdr>
        <w:tabs>
          <w:tab w:val="left" w:pos="450"/>
          <w:tab w:val="left" w:pos="2178"/>
        </w:tabs>
        <w:spacing w:after="120" w:line="360" w:lineRule="auto"/>
        <w:jc w:val="both"/>
        <w:rPr>
          <w:rFonts w:ascii="Arial" w:hAnsi="Arial" w:cs="Arial"/>
          <w:color w:val="010000"/>
          <w:sz w:val="20"/>
          <w:szCs w:val="20"/>
        </w:rPr>
      </w:pPr>
      <w:r w:rsidRPr="005C43B7">
        <w:rPr>
          <w:rFonts w:ascii="Arial" w:hAnsi="Arial" w:cs="Arial"/>
          <w:color w:val="010000"/>
          <w:sz w:val="20"/>
        </w:rPr>
        <w:t>Perform other necessary tasks and legal procedures, and sign relevant documents (if any arise) to complete the share offering according to the plan approved by the General Meeting of Shareholders and the Board of Directors of the Bank.</w:t>
      </w:r>
    </w:p>
    <w:p w14:paraId="00000012" w14:textId="77777777" w:rsidR="00855117" w:rsidRPr="005C43B7" w:rsidRDefault="005C43B7" w:rsidP="00845A22">
      <w:pPr>
        <w:numPr>
          <w:ilvl w:val="0"/>
          <w:numId w:val="1"/>
        </w:numPr>
        <w:pBdr>
          <w:top w:val="nil"/>
          <w:left w:val="nil"/>
          <w:bottom w:val="nil"/>
          <w:right w:val="nil"/>
          <w:between w:val="nil"/>
        </w:pBdr>
        <w:tabs>
          <w:tab w:val="left" w:pos="450"/>
          <w:tab w:val="left" w:pos="2178"/>
        </w:tabs>
        <w:spacing w:after="120" w:line="360" w:lineRule="auto"/>
        <w:jc w:val="both"/>
        <w:rPr>
          <w:rFonts w:ascii="Arial" w:hAnsi="Arial" w:cs="Arial"/>
          <w:color w:val="010000"/>
          <w:sz w:val="20"/>
          <w:szCs w:val="20"/>
        </w:rPr>
      </w:pPr>
      <w:r w:rsidRPr="005C43B7">
        <w:rPr>
          <w:rFonts w:ascii="Arial" w:hAnsi="Arial" w:cs="Arial"/>
          <w:color w:val="010000"/>
          <w:sz w:val="20"/>
        </w:rPr>
        <w:t>Assign Mr. Dang Thai Nguyen, member of the Board of Directors of BAC A BANK to: Confirm existing shareholders’ dossiers requesting purchasing rights transfer (for dossiers of purchasing rights transfer of shareholders who have not yet deposited).</w:t>
      </w:r>
    </w:p>
    <w:p w14:paraId="00000013" w14:textId="77777777" w:rsidR="00855117" w:rsidRPr="005C43B7" w:rsidRDefault="005C43B7" w:rsidP="00845A22">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Article 5: This Resolution takes effect from the date of its signing.</w:t>
      </w:r>
    </w:p>
    <w:p w14:paraId="00000014" w14:textId="77777777" w:rsidR="00855117" w:rsidRPr="005C43B7" w:rsidRDefault="005C43B7" w:rsidP="00845A2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C43B7">
        <w:rPr>
          <w:rFonts w:ascii="Arial" w:hAnsi="Arial" w:cs="Arial"/>
          <w:color w:val="010000"/>
          <w:sz w:val="20"/>
        </w:rPr>
        <w:t>Members of the Board of Directors and Board of Management, Blocks, Departments, Centers at Headquarters, and relevant units and individuals are responsible for implementing this Resolution.</w:t>
      </w:r>
    </w:p>
    <w:sectPr w:rsidR="00855117" w:rsidRPr="005C43B7" w:rsidSect="005C43B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D7B"/>
    <w:multiLevelType w:val="multilevel"/>
    <w:tmpl w:val="B4CEDD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5CB4E01"/>
    <w:multiLevelType w:val="multilevel"/>
    <w:tmpl w:val="6A4E8BD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17"/>
    <w:rsid w:val="005C43B7"/>
    <w:rsid w:val="00845A22"/>
    <w:rsid w:val="0085511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714671-A4DD-40C0-938B-709E479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Arial" w:eastAsia="Arial" w:hAnsi="Arial" w:cs="Arial"/>
      <w:b/>
      <w:bCs/>
      <w:i w:val="0"/>
      <w:iCs w:val="0"/>
      <w:smallCaps w:val="0"/>
      <w:strike w:val="0"/>
      <w:sz w:val="22"/>
      <w:szCs w:val="22"/>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color w:val="AF1B2F"/>
      <w:sz w:val="30"/>
      <w:szCs w:val="3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32C41"/>
      <w:sz w:val="9"/>
      <w:szCs w:val="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E0A10"/>
      <w:sz w:val="16"/>
      <w:szCs w:val="16"/>
      <w:u w:val="none"/>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22"/>
      <w:szCs w:val="22"/>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22"/>
      <w:szCs w:val="22"/>
      <w:u w:val="none"/>
    </w:rPr>
  </w:style>
  <w:style w:type="paragraph" w:customStyle="1" w:styleId="Bodytext20">
    <w:name w:val="Body text (2)"/>
    <w:basedOn w:val="Normal"/>
    <w:link w:val="Bodytext2"/>
    <w:pPr>
      <w:spacing w:line="298" w:lineRule="auto"/>
      <w:ind w:left="1400"/>
    </w:pPr>
    <w:rPr>
      <w:rFonts w:ascii="Times New Roman" w:eastAsia="Times New Roman" w:hAnsi="Times New Roman" w:cs="Times New Roman"/>
      <w:sz w:val="22"/>
      <w:szCs w:val="22"/>
    </w:rPr>
  </w:style>
  <w:style w:type="paragraph" w:customStyle="1" w:styleId="Heading21">
    <w:name w:val="Heading #2"/>
    <w:basedOn w:val="Normal"/>
    <w:link w:val="Heading20"/>
    <w:pPr>
      <w:spacing w:line="259" w:lineRule="auto"/>
      <w:ind w:left="1860"/>
      <w:outlineLvl w:val="1"/>
    </w:pPr>
    <w:rPr>
      <w:rFonts w:ascii="Arial" w:eastAsia="Arial" w:hAnsi="Arial" w:cs="Arial"/>
      <w:b/>
      <w:bCs/>
      <w:sz w:val="22"/>
      <w:szCs w:val="22"/>
    </w:rPr>
  </w:style>
  <w:style w:type="paragraph" w:styleId="BodyText">
    <w:name w:val="Body Text"/>
    <w:basedOn w:val="Normal"/>
    <w:link w:val="BodyTextChar"/>
    <w:qFormat/>
    <w:pPr>
      <w:spacing w:line="300" w:lineRule="auto"/>
    </w:pPr>
    <w:rPr>
      <w:rFonts w:ascii="Arial" w:eastAsia="Arial" w:hAnsi="Arial" w:cs="Arial"/>
      <w:sz w:val="22"/>
      <w:szCs w:val="22"/>
    </w:rPr>
  </w:style>
  <w:style w:type="paragraph" w:customStyle="1" w:styleId="Heading11">
    <w:name w:val="Heading #1"/>
    <w:basedOn w:val="Normal"/>
    <w:link w:val="Heading10"/>
    <w:pPr>
      <w:spacing w:line="228" w:lineRule="auto"/>
      <w:jc w:val="right"/>
      <w:outlineLvl w:val="0"/>
    </w:pPr>
    <w:rPr>
      <w:rFonts w:ascii="Times New Roman" w:eastAsia="Times New Roman" w:hAnsi="Times New Roman" w:cs="Times New Roman"/>
      <w:b/>
      <w:bCs/>
      <w:i/>
      <w:iCs/>
      <w:color w:val="AF1B2F"/>
      <w:sz w:val="30"/>
      <w:szCs w:val="30"/>
    </w:rPr>
  </w:style>
  <w:style w:type="paragraph" w:customStyle="1" w:styleId="Bodytext40">
    <w:name w:val="Body text (4)"/>
    <w:basedOn w:val="Normal"/>
    <w:link w:val="Bodytext4"/>
    <w:rPr>
      <w:rFonts w:ascii="Arial" w:eastAsia="Arial" w:hAnsi="Arial" w:cs="Arial"/>
      <w:color w:val="F32C41"/>
      <w:sz w:val="9"/>
      <w:szCs w:val="9"/>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E0A10"/>
      <w:sz w:val="16"/>
      <w:szCs w:val="16"/>
    </w:rPr>
  </w:style>
  <w:style w:type="paragraph" w:customStyle="1" w:styleId="Tablecaption0">
    <w:name w:val="Table caption"/>
    <w:basedOn w:val="Normal"/>
    <w:link w:val="Tablecaption"/>
    <w:rPr>
      <w:rFonts w:ascii="Arial" w:eastAsia="Arial" w:hAnsi="Arial" w:cs="Arial"/>
      <w:b/>
      <w:bCs/>
      <w:sz w:val="22"/>
      <w:szCs w:val="22"/>
    </w:rPr>
  </w:style>
  <w:style w:type="paragraph" w:customStyle="1" w:styleId="Other0">
    <w:name w:val="Other"/>
    <w:basedOn w:val="Normal"/>
    <w:link w:val="Other"/>
    <w:pPr>
      <w:spacing w:line="300" w:lineRule="auto"/>
    </w:pPr>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RzRGAJkAVt88BzVEC9jw39D6Pw==">CgMxLjA4AHIhMXh5T2FtMlU4Z0VWcmhaYXlkWDhfWW1EVG81TVI3OUNz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2024-04-26T04:26:00Z</dcterms:created>
  <dcterms:modified xsi:type="dcterms:W3CDTF">2024-05-02T10:03:00Z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a1bfd150262523e02de919ce7c79661554cd28c4ab5513cfe3c3fa4fd4661013</vt:lpwstr>
  </property>
</Properties>
</file>