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630" w:rsidRDefault="003835C1" w:rsidP="00C817AC">
      <w:pPr>
        <w:pBdr>
          <w:top w:val="nil"/>
          <w:left w:val="nil"/>
          <w:bottom w:val="nil"/>
          <w:right w:val="nil"/>
          <w:between w:val="nil"/>
        </w:pBdr>
        <w:tabs>
          <w:tab w:val="left" w:pos="3518"/>
        </w:tabs>
        <w:spacing w:after="120" w:line="360" w:lineRule="auto"/>
        <w:jc w:val="both"/>
        <w:rPr>
          <w:rFonts w:ascii="Arial" w:eastAsia="Arial" w:hAnsi="Arial" w:cs="Arial"/>
          <w:b/>
          <w:color w:val="010000"/>
          <w:sz w:val="20"/>
          <w:szCs w:val="20"/>
        </w:rPr>
      </w:pPr>
      <w:r>
        <w:rPr>
          <w:rFonts w:ascii="Arial" w:hAnsi="Arial"/>
          <w:b/>
          <w:color w:val="010000"/>
          <w:sz w:val="20"/>
        </w:rPr>
        <w:t>BCA: Annual General Mandate 2024</w:t>
      </w:r>
    </w:p>
    <w:p w:rsidR="00173630" w:rsidRDefault="003835C1" w:rsidP="00C817AC">
      <w:pPr>
        <w:pBdr>
          <w:top w:val="nil"/>
          <w:left w:val="nil"/>
          <w:bottom w:val="nil"/>
          <w:right w:val="nil"/>
          <w:between w:val="nil"/>
        </w:pBdr>
        <w:tabs>
          <w:tab w:val="left" w:pos="3518"/>
        </w:tabs>
        <w:spacing w:after="120" w:line="360" w:lineRule="auto"/>
        <w:jc w:val="both"/>
        <w:rPr>
          <w:rFonts w:ascii="Arial" w:eastAsia="Arial" w:hAnsi="Arial" w:cs="Arial"/>
          <w:color w:val="010000"/>
          <w:sz w:val="20"/>
          <w:szCs w:val="20"/>
        </w:rPr>
      </w:pPr>
      <w:r>
        <w:rPr>
          <w:rFonts w:ascii="Arial" w:hAnsi="Arial"/>
          <w:color w:val="010000"/>
          <w:sz w:val="20"/>
        </w:rPr>
        <w:t>On April 22, 2024, B.C.H Joint Stock Company announced General Mandate No. 01/2024/NQ-DHDCD as follows:</w:t>
      </w:r>
      <w:r>
        <w:rPr>
          <w:rFonts w:ascii="Arial" w:hAnsi="Arial"/>
          <w:color w:val="010000"/>
          <w:sz w:val="20"/>
        </w:rPr>
        <w:t xml:space="preserve"> </w:t>
      </w:r>
    </w:p>
    <w:p w:rsidR="00173630" w:rsidRDefault="003835C1" w:rsidP="00C817A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Article 1: </w:t>
      </w:r>
      <w:r>
        <w:rPr>
          <w:rFonts w:ascii="Arial" w:hAnsi="Arial"/>
          <w:color w:val="010000"/>
          <w:sz w:val="20"/>
        </w:rPr>
        <w:t>Approve the Report on activity results 2023 and operating direction 2024 of the Company'</w:t>
      </w:r>
      <w:r>
        <w:rPr>
          <w:rFonts w:ascii="Arial" w:hAnsi="Arial"/>
          <w:color w:val="010000"/>
          <w:sz w:val="20"/>
        </w:rPr>
        <w:t>s Board of Directors</w:t>
      </w:r>
      <w:r>
        <w:rPr>
          <w:rFonts w:ascii="Arial" w:hAnsi="Arial"/>
          <w:color w:val="010000"/>
          <w:sz w:val="20"/>
        </w:rPr>
        <w:t xml:space="preserve"> </w:t>
      </w:r>
    </w:p>
    <w:p w:rsidR="00173630" w:rsidRDefault="003835C1" w:rsidP="00C817AC">
      <w:pPr>
        <w:numPr>
          <w:ilvl w:val="0"/>
          <w:numId w:val="1"/>
        </w:numPr>
        <w:pBdr>
          <w:top w:val="nil"/>
          <w:left w:val="nil"/>
          <w:bottom w:val="nil"/>
          <w:right w:val="nil"/>
          <w:between w:val="nil"/>
        </w:pBdr>
        <w:tabs>
          <w:tab w:val="left" w:pos="432"/>
          <w:tab w:val="left" w:pos="1488"/>
        </w:tabs>
        <w:spacing w:after="120" w:line="360" w:lineRule="auto"/>
        <w:jc w:val="both"/>
        <w:rPr>
          <w:rFonts w:ascii="Arial" w:eastAsia="Arial" w:hAnsi="Arial" w:cs="Arial"/>
          <w:color w:val="010000"/>
          <w:sz w:val="20"/>
          <w:szCs w:val="20"/>
        </w:rPr>
      </w:pPr>
      <w:r>
        <w:rPr>
          <w:rFonts w:ascii="Arial" w:hAnsi="Arial"/>
          <w:color w:val="010000"/>
          <w:sz w:val="20"/>
        </w:rPr>
        <w:t>Results of implementing the business plan 2023</w:t>
      </w:r>
    </w:p>
    <w:p w:rsidR="00173630" w:rsidRDefault="003835C1" w:rsidP="00C817A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Under the direction of the Board of Directors and the efforts of the Board of Management and all employees of the Company, in 2023 the Company strived to implement and achieved the follow</w:t>
      </w:r>
      <w:r>
        <w:rPr>
          <w:rFonts w:ascii="Arial" w:hAnsi="Arial"/>
          <w:color w:val="010000"/>
          <w:sz w:val="20"/>
        </w:rPr>
        <w:t>ing results:</w:t>
      </w:r>
    </w:p>
    <w:p w:rsidR="00173630" w:rsidRDefault="003835C1" w:rsidP="00C817A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2:</w:t>
      </w:r>
      <w:r>
        <w:rPr>
          <w:rFonts w:ascii="Arial" w:hAnsi="Arial"/>
          <w:color w:val="010000"/>
          <w:sz w:val="20"/>
        </w:rPr>
        <w:t xml:space="preserve"> </w:t>
      </w:r>
      <w:r>
        <w:rPr>
          <w:rFonts w:ascii="Arial" w:hAnsi="Arial"/>
          <w:color w:val="010000"/>
          <w:sz w:val="20"/>
        </w:rPr>
        <w:t>Approve the Report on activity results 2023 and operating direction 2024 of the Company's Board of Management</w:t>
      </w:r>
      <w:r>
        <w:rPr>
          <w:rFonts w:ascii="Arial" w:hAnsi="Arial"/>
          <w:color w:val="010000"/>
          <w:sz w:val="20"/>
        </w:rPr>
        <w:t xml:space="preserve"> </w:t>
      </w:r>
    </w:p>
    <w:p w:rsidR="00173630" w:rsidRPr="00C817AC" w:rsidRDefault="003835C1" w:rsidP="00C817AC">
      <w:pPr>
        <w:spacing w:before="240" w:after="120" w:line="360" w:lineRule="auto"/>
        <w:jc w:val="right"/>
        <w:rPr>
          <w:rFonts w:ascii="Arial" w:eastAsia="Arial" w:hAnsi="Arial" w:cs="Arial"/>
          <w:i/>
          <w:color w:val="010000"/>
          <w:sz w:val="20"/>
          <w:szCs w:val="20"/>
        </w:rPr>
      </w:pPr>
      <w:r w:rsidRPr="00C817AC">
        <w:rPr>
          <w:rFonts w:ascii="Arial" w:hAnsi="Arial"/>
          <w:i/>
          <w:color w:val="010000"/>
          <w:sz w:val="20"/>
        </w:rPr>
        <w:t>Unit: VND</w:t>
      </w:r>
    </w:p>
    <w:tbl>
      <w:tblPr>
        <w:tblStyle w:val="a"/>
        <w:tblW w:w="8775" w:type="dxa"/>
        <w:tblBorders>
          <w:top w:val="nil"/>
          <w:left w:val="nil"/>
          <w:bottom w:val="nil"/>
          <w:right w:val="nil"/>
          <w:insideH w:val="nil"/>
          <w:insideV w:val="nil"/>
        </w:tblBorders>
        <w:tblLayout w:type="fixed"/>
        <w:tblLook w:val="0600" w:firstRow="0" w:lastRow="0" w:firstColumn="0" w:lastColumn="0" w:noHBand="1" w:noVBand="1"/>
      </w:tblPr>
      <w:tblGrid>
        <w:gridCol w:w="2700"/>
        <w:gridCol w:w="2085"/>
        <w:gridCol w:w="2100"/>
        <w:gridCol w:w="1890"/>
      </w:tblGrid>
      <w:tr w:rsidR="00173630">
        <w:trPr>
          <w:trHeight w:val="735"/>
        </w:trPr>
        <w:tc>
          <w:tcPr>
            <w:tcW w:w="2700"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tcPr>
          <w:p w:rsidR="00173630" w:rsidRDefault="003835C1" w:rsidP="00C817AC">
            <w:pPr>
              <w:spacing w:before="240" w:after="120" w:line="360" w:lineRule="auto"/>
              <w:jc w:val="center"/>
              <w:rPr>
                <w:rFonts w:ascii="Arial" w:eastAsia="Arial" w:hAnsi="Arial" w:cs="Arial"/>
                <w:color w:val="010000"/>
                <w:sz w:val="20"/>
                <w:szCs w:val="20"/>
              </w:rPr>
            </w:pPr>
            <w:r>
              <w:rPr>
                <w:rFonts w:ascii="Arial" w:hAnsi="Arial"/>
                <w:color w:val="010000"/>
                <w:sz w:val="20"/>
              </w:rPr>
              <w:t>Target</w:t>
            </w:r>
          </w:p>
        </w:tc>
        <w:tc>
          <w:tcPr>
            <w:tcW w:w="2085" w:type="dxa"/>
            <w:tcBorders>
              <w:top w:val="single" w:sz="8" w:space="0" w:color="000000"/>
              <w:left w:val="nil"/>
              <w:bottom w:val="single" w:sz="8" w:space="0" w:color="000000"/>
              <w:right w:val="single" w:sz="8" w:space="0" w:color="000000"/>
            </w:tcBorders>
            <w:tcMar>
              <w:top w:w="0" w:type="dxa"/>
              <w:left w:w="20" w:type="dxa"/>
              <w:bottom w:w="0" w:type="dxa"/>
              <w:right w:w="20" w:type="dxa"/>
            </w:tcMar>
          </w:tcPr>
          <w:p w:rsidR="00173630" w:rsidRDefault="003835C1" w:rsidP="00C817AC">
            <w:pPr>
              <w:spacing w:before="240" w:after="120" w:line="360" w:lineRule="auto"/>
              <w:jc w:val="center"/>
              <w:rPr>
                <w:rFonts w:ascii="Arial" w:eastAsia="Arial" w:hAnsi="Arial" w:cs="Arial"/>
                <w:color w:val="010000"/>
                <w:sz w:val="20"/>
                <w:szCs w:val="20"/>
              </w:rPr>
            </w:pPr>
            <w:r>
              <w:rPr>
                <w:rFonts w:ascii="Arial" w:hAnsi="Arial"/>
                <w:color w:val="010000"/>
                <w:sz w:val="20"/>
              </w:rPr>
              <w:t>Results 2022</w:t>
            </w:r>
          </w:p>
        </w:tc>
        <w:tc>
          <w:tcPr>
            <w:tcW w:w="2100" w:type="dxa"/>
            <w:tcBorders>
              <w:top w:val="single" w:sz="8" w:space="0" w:color="000000"/>
              <w:left w:val="nil"/>
              <w:bottom w:val="single" w:sz="8" w:space="0" w:color="000000"/>
              <w:right w:val="single" w:sz="8" w:space="0" w:color="000000"/>
            </w:tcBorders>
            <w:tcMar>
              <w:top w:w="0" w:type="dxa"/>
              <w:left w:w="20" w:type="dxa"/>
              <w:bottom w:w="0" w:type="dxa"/>
              <w:right w:w="20" w:type="dxa"/>
            </w:tcMar>
          </w:tcPr>
          <w:p w:rsidR="00173630" w:rsidRDefault="003835C1" w:rsidP="00C817AC">
            <w:pPr>
              <w:spacing w:before="240" w:after="120" w:line="360" w:lineRule="auto"/>
              <w:jc w:val="center"/>
              <w:rPr>
                <w:rFonts w:ascii="Arial" w:eastAsia="Arial" w:hAnsi="Arial" w:cs="Arial"/>
                <w:color w:val="010000"/>
                <w:sz w:val="20"/>
                <w:szCs w:val="20"/>
              </w:rPr>
            </w:pPr>
            <w:r>
              <w:rPr>
                <w:rFonts w:ascii="Arial" w:hAnsi="Arial"/>
                <w:color w:val="010000"/>
                <w:sz w:val="20"/>
              </w:rPr>
              <w:t>Results 2023</w:t>
            </w:r>
          </w:p>
        </w:tc>
        <w:tc>
          <w:tcPr>
            <w:tcW w:w="1890" w:type="dxa"/>
            <w:tcBorders>
              <w:top w:val="single" w:sz="8" w:space="0" w:color="000000"/>
              <w:left w:val="nil"/>
              <w:bottom w:val="single" w:sz="8" w:space="0" w:color="000000"/>
              <w:right w:val="single" w:sz="8" w:space="0" w:color="000000"/>
            </w:tcBorders>
            <w:tcMar>
              <w:top w:w="0" w:type="dxa"/>
              <w:left w:w="20" w:type="dxa"/>
              <w:bottom w:w="0" w:type="dxa"/>
              <w:right w:w="20" w:type="dxa"/>
            </w:tcMar>
          </w:tcPr>
          <w:p w:rsidR="00173630" w:rsidRDefault="003835C1" w:rsidP="00C817AC">
            <w:pPr>
              <w:spacing w:before="240" w:after="120" w:line="360" w:lineRule="auto"/>
              <w:jc w:val="center"/>
              <w:rPr>
                <w:rFonts w:ascii="Arial" w:eastAsia="Arial" w:hAnsi="Arial" w:cs="Arial"/>
                <w:color w:val="010000"/>
                <w:sz w:val="20"/>
                <w:szCs w:val="20"/>
              </w:rPr>
            </w:pPr>
            <w:r>
              <w:rPr>
                <w:rFonts w:ascii="Arial" w:hAnsi="Arial"/>
                <w:color w:val="010000"/>
                <w:sz w:val="20"/>
              </w:rPr>
              <w:t>Growth rate (%)</w:t>
            </w:r>
          </w:p>
        </w:tc>
      </w:tr>
      <w:tr w:rsidR="00173630">
        <w:trPr>
          <w:trHeight w:val="435"/>
        </w:trPr>
        <w:tc>
          <w:tcPr>
            <w:tcW w:w="2700" w:type="dxa"/>
            <w:tcBorders>
              <w:top w:val="nil"/>
              <w:left w:val="single" w:sz="8" w:space="0" w:color="000000"/>
              <w:bottom w:val="single" w:sz="8" w:space="0" w:color="000000"/>
              <w:right w:val="single" w:sz="8" w:space="0" w:color="000000"/>
            </w:tcBorders>
            <w:tcMar>
              <w:top w:w="0" w:type="dxa"/>
              <w:left w:w="20" w:type="dxa"/>
              <w:bottom w:w="0" w:type="dxa"/>
              <w:right w:w="20" w:type="dxa"/>
            </w:tcMar>
          </w:tcPr>
          <w:p w:rsidR="00173630" w:rsidRDefault="003835C1" w:rsidP="00C817AC">
            <w:pPr>
              <w:spacing w:before="240" w:after="120" w:line="360" w:lineRule="auto"/>
              <w:jc w:val="both"/>
              <w:rPr>
                <w:rFonts w:ascii="Arial" w:eastAsia="Arial" w:hAnsi="Arial" w:cs="Arial"/>
                <w:color w:val="010000"/>
                <w:sz w:val="20"/>
                <w:szCs w:val="20"/>
              </w:rPr>
            </w:pPr>
            <w:r>
              <w:rPr>
                <w:rFonts w:ascii="Arial" w:hAnsi="Arial"/>
                <w:color w:val="010000"/>
                <w:sz w:val="20"/>
              </w:rPr>
              <w:t>Net revenue</w:t>
            </w:r>
          </w:p>
        </w:tc>
        <w:tc>
          <w:tcPr>
            <w:tcW w:w="2085" w:type="dxa"/>
            <w:tcBorders>
              <w:top w:val="nil"/>
              <w:left w:val="nil"/>
              <w:bottom w:val="single" w:sz="8" w:space="0" w:color="000000"/>
              <w:right w:val="single" w:sz="8" w:space="0" w:color="000000"/>
            </w:tcBorders>
            <w:tcMar>
              <w:top w:w="0" w:type="dxa"/>
              <w:left w:w="20" w:type="dxa"/>
              <w:bottom w:w="0" w:type="dxa"/>
              <w:right w:w="20" w:type="dxa"/>
            </w:tcMar>
          </w:tcPr>
          <w:p w:rsidR="00173630" w:rsidRDefault="003835C1" w:rsidP="00C817AC">
            <w:pPr>
              <w:spacing w:before="240" w:after="120" w:line="360" w:lineRule="auto"/>
              <w:jc w:val="center"/>
              <w:rPr>
                <w:rFonts w:ascii="Arial" w:eastAsia="Arial" w:hAnsi="Arial" w:cs="Arial"/>
                <w:color w:val="010000"/>
                <w:sz w:val="20"/>
                <w:szCs w:val="20"/>
              </w:rPr>
            </w:pPr>
            <w:r>
              <w:rPr>
                <w:rFonts w:ascii="Arial" w:hAnsi="Arial"/>
                <w:color w:val="010000"/>
                <w:sz w:val="20"/>
              </w:rPr>
              <w:t>2,470,745,686,449</w:t>
            </w:r>
          </w:p>
        </w:tc>
        <w:tc>
          <w:tcPr>
            <w:tcW w:w="2100" w:type="dxa"/>
            <w:tcBorders>
              <w:top w:val="nil"/>
              <w:left w:val="nil"/>
              <w:bottom w:val="single" w:sz="8" w:space="0" w:color="000000"/>
              <w:right w:val="single" w:sz="8" w:space="0" w:color="000000"/>
            </w:tcBorders>
            <w:tcMar>
              <w:top w:w="0" w:type="dxa"/>
              <w:left w:w="20" w:type="dxa"/>
              <w:bottom w:w="0" w:type="dxa"/>
              <w:right w:w="20" w:type="dxa"/>
            </w:tcMar>
          </w:tcPr>
          <w:p w:rsidR="00173630" w:rsidRDefault="003835C1" w:rsidP="00C817AC">
            <w:pPr>
              <w:spacing w:before="240" w:after="120" w:line="360" w:lineRule="auto"/>
              <w:jc w:val="center"/>
              <w:rPr>
                <w:rFonts w:ascii="Arial" w:eastAsia="Arial" w:hAnsi="Arial" w:cs="Arial"/>
                <w:color w:val="010000"/>
                <w:sz w:val="20"/>
                <w:szCs w:val="20"/>
              </w:rPr>
            </w:pPr>
            <w:r>
              <w:rPr>
                <w:rFonts w:ascii="Arial" w:hAnsi="Arial"/>
                <w:color w:val="010000"/>
                <w:sz w:val="20"/>
              </w:rPr>
              <w:t>3,835,337,152,692</w:t>
            </w:r>
          </w:p>
        </w:tc>
        <w:tc>
          <w:tcPr>
            <w:tcW w:w="1890" w:type="dxa"/>
            <w:tcBorders>
              <w:top w:val="nil"/>
              <w:left w:val="nil"/>
              <w:bottom w:val="single" w:sz="8" w:space="0" w:color="000000"/>
              <w:right w:val="single" w:sz="8" w:space="0" w:color="000000"/>
            </w:tcBorders>
            <w:tcMar>
              <w:top w:w="0" w:type="dxa"/>
              <w:left w:w="20" w:type="dxa"/>
              <w:bottom w:w="0" w:type="dxa"/>
              <w:right w:w="20" w:type="dxa"/>
            </w:tcMar>
          </w:tcPr>
          <w:p w:rsidR="00173630" w:rsidRDefault="003835C1" w:rsidP="00C817AC">
            <w:pPr>
              <w:spacing w:before="240" w:after="120" w:line="360" w:lineRule="auto"/>
              <w:jc w:val="center"/>
              <w:rPr>
                <w:rFonts w:ascii="Arial" w:eastAsia="Arial" w:hAnsi="Arial" w:cs="Arial"/>
                <w:color w:val="010000"/>
                <w:sz w:val="20"/>
                <w:szCs w:val="20"/>
              </w:rPr>
            </w:pPr>
            <w:r>
              <w:rPr>
                <w:rFonts w:ascii="Arial" w:hAnsi="Arial"/>
                <w:color w:val="010000"/>
                <w:sz w:val="20"/>
              </w:rPr>
              <w:t>55.23%</w:t>
            </w:r>
          </w:p>
        </w:tc>
      </w:tr>
      <w:tr w:rsidR="00173630">
        <w:trPr>
          <w:trHeight w:val="435"/>
        </w:trPr>
        <w:tc>
          <w:tcPr>
            <w:tcW w:w="2700" w:type="dxa"/>
            <w:tcBorders>
              <w:top w:val="nil"/>
              <w:left w:val="single" w:sz="8" w:space="0" w:color="000000"/>
              <w:bottom w:val="single" w:sz="8" w:space="0" w:color="000000"/>
              <w:right w:val="single" w:sz="8" w:space="0" w:color="000000"/>
            </w:tcBorders>
            <w:tcMar>
              <w:top w:w="0" w:type="dxa"/>
              <w:left w:w="20" w:type="dxa"/>
              <w:bottom w:w="0" w:type="dxa"/>
              <w:right w:w="20" w:type="dxa"/>
            </w:tcMar>
          </w:tcPr>
          <w:p w:rsidR="00173630" w:rsidRDefault="003835C1" w:rsidP="00C817AC">
            <w:pPr>
              <w:spacing w:before="240" w:after="120" w:line="360" w:lineRule="auto"/>
              <w:jc w:val="both"/>
              <w:rPr>
                <w:rFonts w:ascii="Arial" w:eastAsia="Arial" w:hAnsi="Arial" w:cs="Arial"/>
                <w:color w:val="010000"/>
                <w:sz w:val="20"/>
                <w:szCs w:val="20"/>
              </w:rPr>
            </w:pPr>
            <w:r>
              <w:rPr>
                <w:rFonts w:ascii="Arial" w:hAnsi="Arial"/>
                <w:color w:val="010000"/>
                <w:sz w:val="20"/>
              </w:rPr>
              <w:t>Cost of goods sold</w:t>
            </w:r>
          </w:p>
        </w:tc>
        <w:tc>
          <w:tcPr>
            <w:tcW w:w="2085" w:type="dxa"/>
            <w:tcBorders>
              <w:top w:val="nil"/>
              <w:left w:val="nil"/>
              <w:bottom w:val="single" w:sz="8" w:space="0" w:color="000000"/>
              <w:right w:val="single" w:sz="8" w:space="0" w:color="000000"/>
            </w:tcBorders>
            <w:tcMar>
              <w:top w:w="0" w:type="dxa"/>
              <w:left w:w="20" w:type="dxa"/>
              <w:bottom w:w="0" w:type="dxa"/>
              <w:right w:w="20" w:type="dxa"/>
            </w:tcMar>
          </w:tcPr>
          <w:p w:rsidR="00173630" w:rsidRDefault="003835C1" w:rsidP="00C817AC">
            <w:pPr>
              <w:spacing w:before="240" w:after="120" w:line="360" w:lineRule="auto"/>
              <w:jc w:val="center"/>
              <w:rPr>
                <w:rFonts w:ascii="Arial" w:eastAsia="Arial" w:hAnsi="Arial" w:cs="Arial"/>
                <w:color w:val="010000"/>
                <w:sz w:val="20"/>
                <w:szCs w:val="20"/>
              </w:rPr>
            </w:pPr>
            <w:r>
              <w:rPr>
                <w:rFonts w:ascii="Arial" w:hAnsi="Arial"/>
                <w:color w:val="010000"/>
                <w:sz w:val="20"/>
              </w:rPr>
              <w:t>2,457,475,238,556</w:t>
            </w:r>
          </w:p>
        </w:tc>
        <w:tc>
          <w:tcPr>
            <w:tcW w:w="2100" w:type="dxa"/>
            <w:tcBorders>
              <w:top w:val="nil"/>
              <w:left w:val="nil"/>
              <w:bottom w:val="single" w:sz="8" w:space="0" w:color="000000"/>
              <w:right w:val="single" w:sz="8" w:space="0" w:color="000000"/>
            </w:tcBorders>
            <w:tcMar>
              <w:top w:w="0" w:type="dxa"/>
              <w:left w:w="20" w:type="dxa"/>
              <w:bottom w:w="0" w:type="dxa"/>
              <w:right w:w="20" w:type="dxa"/>
            </w:tcMar>
          </w:tcPr>
          <w:p w:rsidR="00173630" w:rsidRDefault="003835C1" w:rsidP="00C817AC">
            <w:pPr>
              <w:spacing w:before="240" w:after="120" w:line="360" w:lineRule="auto"/>
              <w:jc w:val="center"/>
              <w:rPr>
                <w:rFonts w:ascii="Arial" w:eastAsia="Arial" w:hAnsi="Arial" w:cs="Arial"/>
                <w:color w:val="010000"/>
                <w:sz w:val="20"/>
                <w:szCs w:val="20"/>
              </w:rPr>
            </w:pPr>
            <w:r>
              <w:rPr>
                <w:rFonts w:ascii="Arial" w:hAnsi="Arial"/>
                <w:color w:val="010000"/>
                <w:sz w:val="20"/>
              </w:rPr>
              <w:t>3,808,488,581,745</w:t>
            </w:r>
          </w:p>
        </w:tc>
        <w:tc>
          <w:tcPr>
            <w:tcW w:w="1890" w:type="dxa"/>
            <w:tcBorders>
              <w:top w:val="nil"/>
              <w:left w:val="nil"/>
              <w:bottom w:val="single" w:sz="8" w:space="0" w:color="000000"/>
              <w:right w:val="single" w:sz="8" w:space="0" w:color="000000"/>
            </w:tcBorders>
            <w:tcMar>
              <w:top w:w="0" w:type="dxa"/>
              <w:left w:w="20" w:type="dxa"/>
              <w:bottom w:w="0" w:type="dxa"/>
              <w:right w:w="20" w:type="dxa"/>
            </w:tcMar>
          </w:tcPr>
          <w:p w:rsidR="00173630" w:rsidRDefault="003835C1" w:rsidP="00C817AC">
            <w:pPr>
              <w:spacing w:before="240" w:after="120" w:line="360" w:lineRule="auto"/>
              <w:jc w:val="center"/>
              <w:rPr>
                <w:rFonts w:ascii="Arial" w:eastAsia="Arial" w:hAnsi="Arial" w:cs="Arial"/>
                <w:color w:val="010000"/>
                <w:sz w:val="20"/>
                <w:szCs w:val="20"/>
              </w:rPr>
            </w:pPr>
            <w:r>
              <w:rPr>
                <w:rFonts w:ascii="Arial" w:hAnsi="Arial"/>
                <w:color w:val="010000"/>
                <w:sz w:val="20"/>
              </w:rPr>
              <w:t>54.97%</w:t>
            </w:r>
          </w:p>
        </w:tc>
      </w:tr>
      <w:tr w:rsidR="00173630">
        <w:trPr>
          <w:trHeight w:val="735"/>
        </w:trPr>
        <w:tc>
          <w:tcPr>
            <w:tcW w:w="2700" w:type="dxa"/>
            <w:tcBorders>
              <w:top w:val="nil"/>
              <w:left w:val="single" w:sz="8" w:space="0" w:color="000000"/>
              <w:bottom w:val="single" w:sz="8" w:space="0" w:color="000000"/>
              <w:right w:val="single" w:sz="8" w:space="0" w:color="000000"/>
            </w:tcBorders>
            <w:tcMar>
              <w:top w:w="0" w:type="dxa"/>
              <w:left w:w="20" w:type="dxa"/>
              <w:bottom w:w="0" w:type="dxa"/>
              <w:right w:w="20" w:type="dxa"/>
            </w:tcMar>
          </w:tcPr>
          <w:p w:rsidR="00173630" w:rsidRDefault="003835C1" w:rsidP="00C817AC">
            <w:pPr>
              <w:spacing w:before="240" w:after="120" w:line="360" w:lineRule="auto"/>
              <w:jc w:val="both"/>
              <w:rPr>
                <w:rFonts w:ascii="Arial" w:eastAsia="Arial" w:hAnsi="Arial" w:cs="Arial"/>
                <w:color w:val="010000"/>
                <w:sz w:val="20"/>
                <w:szCs w:val="20"/>
              </w:rPr>
            </w:pPr>
            <w:r>
              <w:rPr>
                <w:rFonts w:ascii="Arial" w:hAnsi="Arial"/>
                <w:color w:val="010000"/>
                <w:sz w:val="20"/>
              </w:rPr>
              <w:t>Revenue from financial activities</w:t>
            </w:r>
          </w:p>
        </w:tc>
        <w:tc>
          <w:tcPr>
            <w:tcW w:w="2085" w:type="dxa"/>
            <w:tcBorders>
              <w:top w:val="nil"/>
              <w:left w:val="nil"/>
              <w:bottom w:val="single" w:sz="8" w:space="0" w:color="000000"/>
              <w:right w:val="single" w:sz="8" w:space="0" w:color="000000"/>
            </w:tcBorders>
            <w:tcMar>
              <w:top w:w="0" w:type="dxa"/>
              <w:left w:w="20" w:type="dxa"/>
              <w:bottom w:w="0" w:type="dxa"/>
              <w:right w:w="20" w:type="dxa"/>
            </w:tcMar>
          </w:tcPr>
          <w:p w:rsidR="00173630" w:rsidRDefault="003835C1" w:rsidP="00C817AC">
            <w:pPr>
              <w:spacing w:before="240" w:after="120" w:line="360" w:lineRule="auto"/>
              <w:jc w:val="center"/>
              <w:rPr>
                <w:rFonts w:ascii="Arial" w:eastAsia="Arial" w:hAnsi="Arial" w:cs="Arial"/>
                <w:color w:val="010000"/>
                <w:sz w:val="20"/>
                <w:szCs w:val="20"/>
              </w:rPr>
            </w:pPr>
            <w:r>
              <w:rPr>
                <w:rFonts w:ascii="Arial" w:hAnsi="Arial"/>
                <w:color w:val="010000"/>
                <w:sz w:val="20"/>
              </w:rPr>
              <w:t>2,763,758,322</w:t>
            </w:r>
          </w:p>
        </w:tc>
        <w:tc>
          <w:tcPr>
            <w:tcW w:w="2100" w:type="dxa"/>
            <w:tcBorders>
              <w:top w:val="nil"/>
              <w:left w:val="nil"/>
              <w:bottom w:val="single" w:sz="8" w:space="0" w:color="000000"/>
              <w:right w:val="single" w:sz="8" w:space="0" w:color="000000"/>
            </w:tcBorders>
            <w:tcMar>
              <w:top w:w="0" w:type="dxa"/>
              <w:left w:w="20" w:type="dxa"/>
              <w:bottom w:w="0" w:type="dxa"/>
              <w:right w:w="20" w:type="dxa"/>
            </w:tcMar>
          </w:tcPr>
          <w:p w:rsidR="00173630" w:rsidRDefault="003835C1" w:rsidP="00C817AC">
            <w:pPr>
              <w:spacing w:before="240" w:after="120" w:line="360" w:lineRule="auto"/>
              <w:jc w:val="center"/>
              <w:rPr>
                <w:rFonts w:ascii="Arial" w:eastAsia="Arial" w:hAnsi="Arial" w:cs="Arial"/>
                <w:color w:val="010000"/>
                <w:sz w:val="20"/>
                <w:szCs w:val="20"/>
              </w:rPr>
            </w:pPr>
            <w:r>
              <w:rPr>
                <w:rFonts w:ascii="Arial" w:hAnsi="Arial"/>
                <w:color w:val="010000"/>
                <w:sz w:val="20"/>
              </w:rPr>
              <w:t>5,274,463,925</w:t>
            </w:r>
          </w:p>
        </w:tc>
        <w:tc>
          <w:tcPr>
            <w:tcW w:w="1890" w:type="dxa"/>
            <w:tcBorders>
              <w:top w:val="nil"/>
              <w:left w:val="nil"/>
              <w:bottom w:val="single" w:sz="8" w:space="0" w:color="000000"/>
              <w:right w:val="single" w:sz="8" w:space="0" w:color="000000"/>
            </w:tcBorders>
            <w:tcMar>
              <w:top w:w="0" w:type="dxa"/>
              <w:left w:w="20" w:type="dxa"/>
              <w:bottom w:w="0" w:type="dxa"/>
              <w:right w:w="20" w:type="dxa"/>
            </w:tcMar>
          </w:tcPr>
          <w:p w:rsidR="00173630" w:rsidRDefault="003835C1" w:rsidP="00C817AC">
            <w:pPr>
              <w:spacing w:before="240" w:after="120" w:line="360" w:lineRule="auto"/>
              <w:jc w:val="center"/>
              <w:rPr>
                <w:rFonts w:ascii="Arial" w:eastAsia="Arial" w:hAnsi="Arial" w:cs="Arial"/>
                <w:color w:val="010000"/>
                <w:sz w:val="20"/>
                <w:szCs w:val="20"/>
              </w:rPr>
            </w:pPr>
            <w:r>
              <w:rPr>
                <w:rFonts w:ascii="Arial" w:hAnsi="Arial"/>
                <w:color w:val="010000"/>
                <w:sz w:val="20"/>
              </w:rPr>
              <w:t>90.8%</w:t>
            </w:r>
          </w:p>
        </w:tc>
      </w:tr>
      <w:tr w:rsidR="00173630">
        <w:trPr>
          <w:trHeight w:val="435"/>
        </w:trPr>
        <w:tc>
          <w:tcPr>
            <w:tcW w:w="2700" w:type="dxa"/>
            <w:tcBorders>
              <w:top w:val="nil"/>
              <w:left w:val="single" w:sz="8" w:space="0" w:color="000000"/>
              <w:bottom w:val="single" w:sz="8" w:space="0" w:color="000000"/>
              <w:right w:val="single" w:sz="8" w:space="0" w:color="000000"/>
            </w:tcBorders>
            <w:tcMar>
              <w:top w:w="0" w:type="dxa"/>
              <w:left w:w="20" w:type="dxa"/>
              <w:bottom w:w="0" w:type="dxa"/>
              <w:right w:w="20" w:type="dxa"/>
            </w:tcMar>
          </w:tcPr>
          <w:p w:rsidR="00173630" w:rsidRDefault="003835C1" w:rsidP="00C817AC">
            <w:pPr>
              <w:spacing w:before="240" w:after="120" w:line="360" w:lineRule="auto"/>
              <w:jc w:val="both"/>
              <w:rPr>
                <w:rFonts w:ascii="Arial" w:eastAsia="Arial" w:hAnsi="Arial" w:cs="Arial"/>
                <w:color w:val="010000"/>
                <w:sz w:val="20"/>
                <w:szCs w:val="20"/>
              </w:rPr>
            </w:pPr>
            <w:r>
              <w:rPr>
                <w:rFonts w:ascii="Arial" w:hAnsi="Arial"/>
                <w:color w:val="010000"/>
                <w:sz w:val="20"/>
              </w:rPr>
              <w:t>Financial expenses</w:t>
            </w:r>
          </w:p>
        </w:tc>
        <w:tc>
          <w:tcPr>
            <w:tcW w:w="2085" w:type="dxa"/>
            <w:tcBorders>
              <w:top w:val="nil"/>
              <w:left w:val="nil"/>
              <w:bottom w:val="single" w:sz="8" w:space="0" w:color="000000"/>
              <w:right w:val="single" w:sz="8" w:space="0" w:color="000000"/>
            </w:tcBorders>
            <w:tcMar>
              <w:top w:w="0" w:type="dxa"/>
              <w:left w:w="20" w:type="dxa"/>
              <w:bottom w:w="0" w:type="dxa"/>
              <w:right w:w="20" w:type="dxa"/>
            </w:tcMar>
          </w:tcPr>
          <w:p w:rsidR="00173630" w:rsidRDefault="003835C1" w:rsidP="00C817AC">
            <w:pPr>
              <w:spacing w:before="240" w:after="120" w:line="360" w:lineRule="auto"/>
              <w:jc w:val="center"/>
              <w:rPr>
                <w:rFonts w:ascii="Arial" w:eastAsia="Arial" w:hAnsi="Arial" w:cs="Arial"/>
                <w:color w:val="010000"/>
                <w:sz w:val="20"/>
                <w:szCs w:val="20"/>
              </w:rPr>
            </w:pPr>
            <w:r>
              <w:rPr>
                <w:rFonts w:ascii="Arial" w:hAnsi="Arial"/>
                <w:color w:val="010000"/>
                <w:sz w:val="20"/>
              </w:rPr>
              <w:t>9,396,238,665</w:t>
            </w:r>
          </w:p>
        </w:tc>
        <w:tc>
          <w:tcPr>
            <w:tcW w:w="2100" w:type="dxa"/>
            <w:tcBorders>
              <w:top w:val="nil"/>
              <w:left w:val="nil"/>
              <w:bottom w:val="single" w:sz="8" w:space="0" w:color="000000"/>
              <w:right w:val="single" w:sz="8" w:space="0" w:color="000000"/>
            </w:tcBorders>
            <w:tcMar>
              <w:top w:w="0" w:type="dxa"/>
              <w:left w:w="20" w:type="dxa"/>
              <w:bottom w:w="0" w:type="dxa"/>
              <w:right w:w="20" w:type="dxa"/>
            </w:tcMar>
          </w:tcPr>
          <w:p w:rsidR="00173630" w:rsidRDefault="003835C1" w:rsidP="00C817AC">
            <w:pPr>
              <w:spacing w:before="240" w:after="120" w:line="360" w:lineRule="auto"/>
              <w:jc w:val="center"/>
              <w:rPr>
                <w:rFonts w:ascii="Arial" w:eastAsia="Arial" w:hAnsi="Arial" w:cs="Arial"/>
                <w:color w:val="010000"/>
                <w:sz w:val="20"/>
                <w:szCs w:val="20"/>
              </w:rPr>
            </w:pPr>
            <w:r>
              <w:rPr>
                <w:rFonts w:ascii="Arial" w:hAnsi="Arial"/>
                <w:color w:val="010000"/>
                <w:sz w:val="20"/>
              </w:rPr>
              <w:t>24,104,883,991</w:t>
            </w:r>
          </w:p>
        </w:tc>
        <w:tc>
          <w:tcPr>
            <w:tcW w:w="1890" w:type="dxa"/>
            <w:tcBorders>
              <w:top w:val="nil"/>
              <w:left w:val="nil"/>
              <w:bottom w:val="single" w:sz="8" w:space="0" w:color="000000"/>
              <w:right w:val="single" w:sz="8" w:space="0" w:color="000000"/>
            </w:tcBorders>
            <w:tcMar>
              <w:top w:w="0" w:type="dxa"/>
              <w:left w:w="20" w:type="dxa"/>
              <w:bottom w:w="0" w:type="dxa"/>
              <w:right w:w="20" w:type="dxa"/>
            </w:tcMar>
          </w:tcPr>
          <w:p w:rsidR="00173630" w:rsidRDefault="003835C1" w:rsidP="00C817AC">
            <w:pPr>
              <w:spacing w:before="240" w:after="120" w:line="360" w:lineRule="auto"/>
              <w:jc w:val="center"/>
              <w:rPr>
                <w:rFonts w:ascii="Arial" w:eastAsia="Arial" w:hAnsi="Arial" w:cs="Arial"/>
                <w:color w:val="010000"/>
                <w:sz w:val="20"/>
                <w:szCs w:val="20"/>
              </w:rPr>
            </w:pPr>
            <w:r>
              <w:rPr>
                <w:rFonts w:ascii="Arial" w:hAnsi="Arial"/>
                <w:color w:val="010000"/>
                <w:sz w:val="20"/>
              </w:rPr>
              <w:t>156.54%</w:t>
            </w:r>
          </w:p>
        </w:tc>
      </w:tr>
      <w:tr w:rsidR="00173630">
        <w:trPr>
          <w:trHeight w:val="435"/>
        </w:trPr>
        <w:tc>
          <w:tcPr>
            <w:tcW w:w="2700" w:type="dxa"/>
            <w:tcBorders>
              <w:top w:val="nil"/>
              <w:left w:val="single" w:sz="8" w:space="0" w:color="000000"/>
              <w:bottom w:val="single" w:sz="8" w:space="0" w:color="000000"/>
              <w:right w:val="single" w:sz="8" w:space="0" w:color="000000"/>
            </w:tcBorders>
            <w:tcMar>
              <w:top w:w="0" w:type="dxa"/>
              <w:left w:w="20" w:type="dxa"/>
              <w:bottom w:w="0" w:type="dxa"/>
              <w:right w:w="20" w:type="dxa"/>
            </w:tcMar>
          </w:tcPr>
          <w:p w:rsidR="00173630" w:rsidRDefault="003835C1" w:rsidP="00C817AC">
            <w:pPr>
              <w:spacing w:before="240" w:after="120" w:line="360" w:lineRule="auto"/>
              <w:jc w:val="both"/>
              <w:rPr>
                <w:rFonts w:ascii="Arial" w:eastAsia="Arial" w:hAnsi="Arial" w:cs="Arial"/>
                <w:color w:val="010000"/>
                <w:sz w:val="20"/>
                <w:szCs w:val="20"/>
              </w:rPr>
            </w:pPr>
            <w:r>
              <w:rPr>
                <w:rFonts w:ascii="Arial" w:hAnsi="Arial"/>
                <w:color w:val="010000"/>
                <w:sz w:val="20"/>
              </w:rPr>
              <w:t>Selling expenses</w:t>
            </w:r>
          </w:p>
        </w:tc>
        <w:tc>
          <w:tcPr>
            <w:tcW w:w="2085" w:type="dxa"/>
            <w:tcBorders>
              <w:top w:val="nil"/>
              <w:left w:val="nil"/>
              <w:bottom w:val="single" w:sz="8" w:space="0" w:color="000000"/>
              <w:right w:val="single" w:sz="8" w:space="0" w:color="000000"/>
            </w:tcBorders>
            <w:tcMar>
              <w:top w:w="0" w:type="dxa"/>
              <w:left w:w="20" w:type="dxa"/>
              <w:bottom w:w="0" w:type="dxa"/>
              <w:right w:w="20" w:type="dxa"/>
            </w:tcMar>
          </w:tcPr>
          <w:p w:rsidR="00173630" w:rsidRDefault="003835C1" w:rsidP="00C817AC">
            <w:pPr>
              <w:spacing w:before="240" w:after="120" w:line="360" w:lineRule="auto"/>
              <w:jc w:val="center"/>
              <w:rPr>
                <w:rFonts w:ascii="Arial" w:eastAsia="Arial" w:hAnsi="Arial" w:cs="Arial"/>
                <w:color w:val="010000"/>
                <w:sz w:val="20"/>
                <w:szCs w:val="20"/>
              </w:rPr>
            </w:pPr>
            <w:r>
              <w:rPr>
                <w:rFonts w:ascii="Arial" w:hAnsi="Arial"/>
                <w:color w:val="010000"/>
                <w:sz w:val="20"/>
              </w:rPr>
              <w:t>1,121,435,706</w:t>
            </w:r>
          </w:p>
        </w:tc>
        <w:tc>
          <w:tcPr>
            <w:tcW w:w="2100" w:type="dxa"/>
            <w:tcBorders>
              <w:top w:val="nil"/>
              <w:left w:val="nil"/>
              <w:bottom w:val="single" w:sz="8" w:space="0" w:color="000000"/>
              <w:right w:val="single" w:sz="8" w:space="0" w:color="000000"/>
            </w:tcBorders>
            <w:tcMar>
              <w:top w:w="0" w:type="dxa"/>
              <w:left w:w="20" w:type="dxa"/>
              <w:bottom w:w="0" w:type="dxa"/>
              <w:right w:w="20" w:type="dxa"/>
            </w:tcMar>
          </w:tcPr>
          <w:p w:rsidR="00173630" w:rsidRDefault="003835C1" w:rsidP="00C817AC">
            <w:pPr>
              <w:spacing w:before="240" w:after="120" w:line="360" w:lineRule="auto"/>
              <w:jc w:val="center"/>
              <w:rPr>
                <w:rFonts w:ascii="Arial" w:eastAsia="Arial" w:hAnsi="Arial" w:cs="Arial"/>
                <w:color w:val="010000"/>
                <w:sz w:val="20"/>
                <w:szCs w:val="20"/>
              </w:rPr>
            </w:pPr>
            <w:r>
              <w:rPr>
                <w:rFonts w:ascii="Arial" w:hAnsi="Arial"/>
                <w:color w:val="010000"/>
                <w:sz w:val="20"/>
              </w:rPr>
              <w:t>1,552,933,085</w:t>
            </w:r>
          </w:p>
        </w:tc>
        <w:tc>
          <w:tcPr>
            <w:tcW w:w="1890" w:type="dxa"/>
            <w:tcBorders>
              <w:top w:val="nil"/>
              <w:left w:val="nil"/>
              <w:bottom w:val="single" w:sz="8" w:space="0" w:color="000000"/>
              <w:right w:val="single" w:sz="8" w:space="0" w:color="000000"/>
            </w:tcBorders>
            <w:tcMar>
              <w:top w:w="0" w:type="dxa"/>
              <w:left w:w="20" w:type="dxa"/>
              <w:bottom w:w="0" w:type="dxa"/>
              <w:right w:w="20" w:type="dxa"/>
            </w:tcMar>
          </w:tcPr>
          <w:p w:rsidR="00173630" w:rsidRDefault="003835C1" w:rsidP="00C817AC">
            <w:pPr>
              <w:spacing w:before="240" w:after="120" w:line="360" w:lineRule="auto"/>
              <w:jc w:val="center"/>
              <w:rPr>
                <w:rFonts w:ascii="Arial" w:eastAsia="Arial" w:hAnsi="Arial" w:cs="Arial"/>
                <w:color w:val="010000"/>
                <w:sz w:val="20"/>
                <w:szCs w:val="20"/>
              </w:rPr>
            </w:pPr>
            <w:r>
              <w:rPr>
                <w:rFonts w:ascii="Arial" w:hAnsi="Arial"/>
                <w:color w:val="010000"/>
                <w:sz w:val="20"/>
              </w:rPr>
              <w:t>38.47%</w:t>
            </w:r>
          </w:p>
        </w:tc>
      </w:tr>
      <w:tr w:rsidR="00173630">
        <w:trPr>
          <w:trHeight w:val="435"/>
        </w:trPr>
        <w:tc>
          <w:tcPr>
            <w:tcW w:w="2700" w:type="dxa"/>
            <w:tcBorders>
              <w:top w:val="nil"/>
              <w:left w:val="single" w:sz="8" w:space="0" w:color="000000"/>
              <w:bottom w:val="single" w:sz="8" w:space="0" w:color="000000"/>
              <w:right w:val="single" w:sz="8" w:space="0" w:color="000000"/>
            </w:tcBorders>
            <w:tcMar>
              <w:top w:w="0" w:type="dxa"/>
              <w:left w:w="20" w:type="dxa"/>
              <w:bottom w:w="0" w:type="dxa"/>
              <w:right w:w="20" w:type="dxa"/>
            </w:tcMar>
          </w:tcPr>
          <w:p w:rsidR="00173630" w:rsidRDefault="003835C1" w:rsidP="00C817AC">
            <w:pPr>
              <w:spacing w:before="240" w:after="120" w:line="360" w:lineRule="auto"/>
              <w:jc w:val="both"/>
              <w:rPr>
                <w:rFonts w:ascii="Arial" w:eastAsia="Arial" w:hAnsi="Arial" w:cs="Arial"/>
                <w:color w:val="010000"/>
                <w:sz w:val="20"/>
                <w:szCs w:val="20"/>
              </w:rPr>
            </w:pPr>
            <w:r>
              <w:rPr>
                <w:rFonts w:ascii="Arial" w:hAnsi="Arial"/>
                <w:color w:val="010000"/>
                <w:sz w:val="20"/>
              </w:rPr>
              <w:t>General and administrative expenses</w:t>
            </w:r>
          </w:p>
        </w:tc>
        <w:tc>
          <w:tcPr>
            <w:tcW w:w="2085" w:type="dxa"/>
            <w:tcBorders>
              <w:top w:val="nil"/>
              <w:left w:val="nil"/>
              <w:bottom w:val="single" w:sz="8" w:space="0" w:color="000000"/>
              <w:right w:val="single" w:sz="8" w:space="0" w:color="000000"/>
            </w:tcBorders>
            <w:tcMar>
              <w:top w:w="0" w:type="dxa"/>
              <w:left w:w="20" w:type="dxa"/>
              <w:bottom w:w="0" w:type="dxa"/>
              <w:right w:w="20" w:type="dxa"/>
            </w:tcMar>
          </w:tcPr>
          <w:p w:rsidR="00173630" w:rsidRDefault="003835C1" w:rsidP="00C817AC">
            <w:pPr>
              <w:spacing w:before="240" w:after="120" w:line="360" w:lineRule="auto"/>
              <w:jc w:val="center"/>
              <w:rPr>
                <w:rFonts w:ascii="Arial" w:eastAsia="Arial" w:hAnsi="Arial" w:cs="Arial"/>
                <w:color w:val="010000"/>
                <w:sz w:val="20"/>
                <w:szCs w:val="20"/>
              </w:rPr>
            </w:pPr>
            <w:r>
              <w:rPr>
                <w:rFonts w:ascii="Arial" w:hAnsi="Arial"/>
                <w:color w:val="010000"/>
                <w:sz w:val="20"/>
              </w:rPr>
              <w:t>79,605,119,806</w:t>
            </w:r>
          </w:p>
        </w:tc>
        <w:tc>
          <w:tcPr>
            <w:tcW w:w="2100" w:type="dxa"/>
            <w:tcBorders>
              <w:top w:val="nil"/>
              <w:left w:val="nil"/>
              <w:bottom w:val="single" w:sz="8" w:space="0" w:color="000000"/>
              <w:right w:val="single" w:sz="8" w:space="0" w:color="000000"/>
            </w:tcBorders>
            <w:tcMar>
              <w:top w:w="0" w:type="dxa"/>
              <w:left w:w="20" w:type="dxa"/>
              <w:bottom w:w="0" w:type="dxa"/>
              <w:right w:w="20" w:type="dxa"/>
            </w:tcMar>
          </w:tcPr>
          <w:p w:rsidR="00173630" w:rsidRDefault="003835C1" w:rsidP="00C817AC">
            <w:pPr>
              <w:spacing w:before="240" w:after="120" w:line="360" w:lineRule="auto"/>
              <w:jc w:val="center"/>
              <w:rPr>
                <w:rFonts w:ascii="Arial" w:eastAsia="Arial" w:hAnsi="Arial" w:cs="Arial"/>
                <w:color w:val="010000"/>
                <w:sz w:val="20"/>
                <w:szCs w:val="20"/>
              </w:rPr>
            </w:pPr>
            <w:r>
              <w:rPr>
                <w:rFonts w:ascii="Arial" w:hAnsi="Arial"/>
                <w:color w:val="010000"/>
                <w:sz w:val="20"/>
              </w:rPr>
              <w:t>3,930,824,393</w:t>
            </w:r>
          </w:p>
        </w:tc>
        <w:tc>
          <w:tcPr>
            <w:tcW w:w="1890" w:type="dxa"/>
            <w:tcBorders>
              <w:top w:val="nil"/>
              <w:left w:val="nil"/>
              <w:bottom w:val="single" w:sz="8" w:space="0" w:color="000000"/>
              <w:right w:val="single" w:sz="8" w:space="0" w:color="000000"/>
            </w:tcBorders>
            <w:tcMar>
              <w:top w:w="0" w:type="dxa"/>
              <w:left w:w="20" w:type="dxa"/>
              <w:bottom w:w="0" w:type="dxa"/>
              <w:right w:w="20" w:type="dxa"/>
            </w:tcMar>
          </w:tcPr>
          <w:p w:rsidR="00173630" w:rsidRDefault="003835C1" w:rsidP="00C817AC">
            <w:pPr>
              <w:spacing w:before="240" w:after="120" w:line="360" w:lineRule="auto"/>
              <w:jc w:val="center"/>
              <w:rPr>
                <w:rFonts w:ascii="Arial" w:eastAsia="Arial" w:hAnsi="Arial" w:cs="Arial"/>
                <w:color w:val="010000"/>
                <w:sz w:val="20"/>
                <w:szCs w:val="20"/>
              </w:rPr>
            </w:pPr>
            <w:r>
              <w:rPr>
                <w:rFonts w:ascii="Arial" w:hAnsi="Arial"/>
                <w:color w:val="010000"/>
                <w:sz w:val="20"/>
              </w:rPr>
              <w:t>-95.06%</w:t>
            </w:r>
          </w:p>
        </w:tc>
      </w:tr>
      <w:tr w:rsidR="00173630">
        <w:trPr>
          <w:trHeight w:val="435"/>
        </w:trPr>
        <w:tc>
          <w:tcPr>
            <w:tcW w:w="2700" w:type="dxa"/>
            <w:tcBorders>
              <w:top w:val="nil"/>
              <w:left w:val="single" w:sz="8" w:space="0" w:color="000000"/>
              <w:bottom w:val="single" w:sz="8" w:space="0" w:color="000000"/>
              <w:right w:val="single" w:sz="8" w:space="0" w:color="000000"/>
            </w:tcBorders>
            <w:tcMar>
              <w:top w:w="0" w:type="dxa"/>
              <w:left w:w="20" w:type="dxa"/>
              <w:bottom w:w="0" w:type="dxa"/>
              <w:right w:w="20" w:type="dxa"/>
            </w:tcMar>
          </w:tcPr>
          <w:p w:rsidR="00173630" w:rsidRDefault="003835C1" w:rsidP="00C817AC">
            <w:pPr>
              <w:spacing w:before="240" w:after="120" w:line="360" w:lineRule="auto"/>
              <w:jc w:val="both"/>
              <w:rPr>
                <w:rFonts w:ascii="Arial" w:eastAsia="Arial" w:hAnsi="Arial" w:cs="Arial"/>
                <w:color w:val="010000"/>
                <w:sz w:val="20"/>
                <w:szCs w:val="20"/>
              </w:rPr>
            </w:pPr>
            <w:r>
              <w:rPr>
                <w:rFonts w:ascii="Arial" w:hAnsi="Arial"/>
                <w:color w:val="010000"/>
                <w:sz w:val="20"/>
              </w:rPr>
              <w:t>Other profits</w:t>
            </w:r>
          </w:p>
        </w:tc>
        <w:tc>
          <w:tcPr>
            <w:tcW w:w="2085" w:type="dxa"/>
            <w:tcBorders>
              <w:top w:val="nil"/>
              <w:left w:val="nil"/>
              <w:bottom w:val="single" w:sz="8" w:space="0" w:color="000000"/>
              <w:right w:val="single" w:sz="8" w:space="0" w:color="000000"/>
            </w:tcBorders>
            <w:tcMar>
              <w:top w:w="0" w:type="dxa"/>
              <w:left w:w="20" w:type="dxa"/>
              <w:bottom w:w="0" w:type="dxa"/>
              <w:right w:w="20" w:type="dxa"/>
            </w:tcMar>
          </w:tcPr>
          <w:p w:rsidR="00173630" w:rsidRDefault="003835C1" w:rsidP="00C817AC">
            <w:pPr>
              <w:spacing w:before="240" w:after="120" w:line="360" w:lineRule="auto"/>
              <w:jc w:val="center"/>
              <w:rPr>
                <w:rFonts w:ascii="Arial" w:eastAsia="Arial" w:hAnsi="Arial" w:cs="Arial"/>
                <w:color w:val="010000"/>
                <w:sz w:val="20"/>
                <w:szCs w:val="20"/>
              </w:rPr>
            </w:pPr>
            <w:r>
              <w:rPr>
                <w:rFonts w:ascii="Arial" w:hAnsi="Arial"/>
                <w:color w:val="010000"/>
                <w:sz w:val="20"/>
              </w:rPr>
              <w:t>160,591,228</w:t>
            </w:r>
          </w:p>
        </w:tc>
        <w:tc>
          <w:tcPr>
            <w:tcW w:w="2100" w:type="dxa"/>
            <w:tcBorders>
              <w:top w:val="nil"/>
              <w:left w:val="nil"/>
              <w:bottom w:val="single" w:sz="8" w:space="0" w:color="000000"/>
              <w:right w:val="single" w:sz="8" w:space="0" w:color="000000"/>
            </w:tcBorders>
            <w:tcMar>
              <w:top w:w="0" w:type="dxa"/>
              <w:left w:w="20" w:type="dxa"/>
              <w:bottom w:w="0" w:type="dxa"/>
              <w:right w:w="20" w:type="dxa"/>
            </w:tcMar>
          </w:tcPr>
          <w:p w:rsidR="00173630" w:rsidRDefault="003835C1" w:rsidP="00C817AC">
            <w:pPr>
              <w:spacing w:before="240" w:after="120" w:line="360" w:lineRule="auto"/>
              <w:jc w:val="center"/>
              <w:rPr>
                <w:rFonts w:ascii="Arial" w:eastAsia="Arial" w:hAnsi="Arial" w:cs="Arial"/>
                <w:color w:val="010000"/>
                <w:sz w:val="20"/>
                <w:szCs w:val="20"/>
              </w:rPr>
            </w:pPr>
            <w:r>
              <w:rPr>
                <w:rFonts w:ascii="Arial" w:hAnsi="Arial"/>
                <w:color w:val="010000"/>
                <w:sz w:val="20"/>
              </w:rPr>
              <w:t>111,000,000</w:t>
            </w:r>
          </w:p>
        </w:tc>
        <w:tc>
          <w:tcPr>
            <w:tcW w:w="1890" w:type="dxa"/>
            <w:tcBorders>
              <w:top w:val="nil"/>
              <w:left w:val="nil"/>
              <w:bottom w:val="single" w:sz="8" w:space="0" w:color="000000"/>
              <w:right w:val="single" w:sz="8" w:space="0" w:color="000000"/>
            </w:tcBorders>
            <w:tcMar>
              <w:top w:w="0" w:type="dxa"/>
              <w:left w:w="20" w:type="dxa"/>
              <w:bottom w:w="0" w:type="dxa"/>
              <w:right w:w="20" w:type="dxa"/>
            </w:tcMar>
          </w:tcPr>
          <w:p w:rsidR="00173630" w:rsidRDefault="003835C1" w:rsidP="00C817AC">
            <w:pPr>
              <w:spacing w:before="240" w:after="120" w:line="360" w:lineRule="auto"/>
              <w:jc w:val="center"/>
              <w:rPr>
                <w:rFonts w:ascii="Arial" w:eastAsia="Arial" w:hAnsi="Arial" w:cs="Arial"/>
                <w:color w:val="010000"/>
                <w:sz w:val="20"/>
                <w:szCs w:val="20"/>
              </w:rPr>
            </w:pPr>
            <w:r>
              <w:rPr>
                <w:rFonts w:ascii="Arial" w:hAnsi="Arial"/>
                <w:color w:val="010000"/>
                <w:sz w:val="20"/>
              </w:rPr>
              <w:t>-30.88%</w:t>
            </w:r>
          </w:p>
        </w:tc>
      </w:tr>
      <w:tr w:rsidR="00173630">
        <w:trPr>
          <w:trHeight w:val="435"/>
        </w:trPr>
        <w:tc>
          <w:tcPr>
            <w:tcW w:w="2700" w:type="dxa"/>
            <w:tcBorders>
              <w:top w:val="nil"/>
              <w:left w:val="single" w:sz="8" w:space="0" w:color="000000"/>
              <w:bottom w:val="single" w:sz="8" w:space="0" w:color="000000"/>
              <w:right w:val="single" w:sz="8" w:space="0" w:color="000000"/>
            </w:tcBorders>
            <w:tcMar>
              <w:top w:w="0" w:type="dxa"/>
              <w:left w:w="20" w:type="dxa"/>
              <w:bottom w:w="0" w:type="dxa"/>
              <w:right w:w="20" w:type="dxa"/>
            </w:tcMar>
          </w:tcPr>
          <w:p w:rsidR="00173630" w:rsidRDefault="003835C1" w:rsidP="00C817AC">
            <w:pPr>
              <w:spacing w:before="240" w:after="120" w:line="360" w:lineRule="auto"/>
              <w:jc w:val="both"/>
              <w:rPr>
                <w:rFonts w:ascii="Arial" w:eastAsia="Arial" w:hAnsi="Arial" w:cs="Arial"/>
                <w:color w:val="010000"/>
                <w:sz w:val="20"/>
                <w:szCs w:val="20"/>
              </w:rPr>
            </w:pPr>
            <w:r>
              <w:rPr>
                <w:rFonts w:ascii="Arial" w:hAnsi="Arial"/>
                <w:color w:val="010000"/>
                <w:sz w:val="20"/>
              </w:rPr>
              <w:t>Profit before tax</w:t>
            </w:r>
          </w:p>
        </w:tc>
        <w:tc>
          <w:tcPr>
            <w:tcW w:w="2085" w:type="dxa"/>
            <w:tcBorders>
              <w:top w:val="nil"/>
              <w:left w:val="nil"/>
              <w:bottom w:val="single" w:sz="8" w:space="0" w:color="000000"/>
              <w:right w:val="single" w:sz="8" w:space="0" w:color="000000"/>
            </w:tcBorders>
            <w:tcMar>
              <w:top w:w="0" w:type="dxa"/>
              <w:left w:w="20" w:type="dxa"/>
              <w:bottom w:w="0" w:type="dxa"/>
              <w:right w:w="20" w:type="dxa"/>
            </w:tcMar>
          </w:tcPr>
          <w:p w:rsidR="00173630" w:rsidRDefault="003835C1" w:rsidP="00C817AC">
            <w:pPr>
              <w:spacing w:before="240" w:after="120" w:line="360" w:lineRule="auto"/>
              <w:jc w:val="center"/>
              <w:rPr>
                <w:rFonts w:ascii="Arial" w:eastAsia="Arial" w:hAnsi="Arial" w:cs="Arial"/>
                <w:color w:val="010000"/>
                <w:sz w:val="20"/>
                <w:szCs w:val="20"/>
              </w:rPr>
            </w:pPr>
            <w:r>
              <w:rPr>
                <w:rFonts w:ascii="Arial" w:hAnsi="Arial"/>
                <w:color w:val="010000"/>
                <w:sz w:val="20"/>
              </w:rPr>
              <w:t>(73,927,996,734)</w:t>
            </w:r>
          </w:p>
        </w:tc>
        <w:tc>
          <w:tcPr>
            <w:tcW w:w="2100" w:type="dxa"/>
            <w:tcBorders>
              <w:top w:val="nil"/>
              <w:left w:val="nil"/>
              <w:bottom w:val="single" w:sz="8" w:space="0" w:color="000000"/>
              <w:right w:val="single" w:sz="8" w:space="0" w:color="000000"/>
            </w:tcBorders>
            <w:tcMar>
              <w:top w:w="0" w:type="dxa"/>
              <w:left w:w="20" w:type="dxa"/>
              <w:bottom w:w="0" w:type="dxa"/>
              <w:right w:w="20" w:type="dxa"/>
            </w:tcMar>
          </w:tcPr>
          <w:p w:rsidR="00173630" w:rsidRDefault="003835C1" w:rsidP="00C817AC">
            <w:pPr>
              <w:spacing w:before="240" w:after="120" w:line="360" w:lineRule="auto"/>
              <w:jc w:val="center"/>
              <w:rPr>
                <w:rFonts w:ascii="Arial" w:eastAsia="Arial" w:hAnsi="Arial" w:cs="Arial"/>
                <w:color w:val="010000"/>
                <w:sz w:val="20"/>
                <w:szCs w:val="20"/>
              </w:rPr>
            </w:pPr>
            <w:r>
              <w:rPr>
                <w:rFonts w:ascii="Arial" w:hAnsi="Arial"/>
                <w:color w:val="010000"/>
                <w:sz w:val="20"/>
              </w:rPr>
              <w:t>2,645,393,403</w:t>
            </w:r>
          </w:p>
        </w:tc>
        <w:tc>
          <w:tcPr>
            <w:tcW w:w="1890" w:type="dxa"/>
            <w:tcBorders>
              <w:top w:val="nil"/>
              <w:left w:val="nil"/>
              <w:bottom w:val="single" w:sz="8" w:space="0" w:color="000000"/>
              <w:right w:val="single" w:sz="8" w:space="0" w:color="000000"/>
            </w:tcBorders>
            <w:tcMar>
              <w:top w:w="0" w:type="dxa"/>
              <w:left w:w="20" w:type="dxa"/>
              <w:bottom w:w="0" w:type="dxa"/>
              <w:right w:w="20" w:type="dxa"/>
            </w:tcMar>
          </w:tcPr>
          <w:p w:rsidR="00173630" w:rsidRDefault="003835C1" w:rsidP="00C817AC">
            <w:pPr>
              <w:spacing w:before="240" w:after="120" w:line="360" w:lineRule="auto"/>
              <w:jc w:val="center"/>
              <w:rPr>
                <w:rFonts w:ascii="Arial" w:eastAsia="Arial" w:hAnsi="Arial" w:cs="Arial"/>
                <w:color w:val="010000"/>
                <w:sz w:val="20"/>
                <w:szCs w:val="20"/>
              </w:rPr>
            </w:pPr>
            <w:r>
              <w:rPr>
                <w:rFonts w:ascii="Arial" w:hAnsi="Arial"/>
                <w:color w:val="010000"/>
                <w:sz w:val="20"/>
              </w:rPr>
              <w:t>-</w:t>
            </w:r>
          </w:p>
        </w:tc>
      </w:tr>
      <w:tr w:rsidR="00173630">
        <w:trPr>
          <w:trHeight w:val="435"/>
        </w:trPr>
        <w:tc>
          <w:tcPr>
            <w:tcW w:w="2700" w:type="dxa"/>
            <w:tcBorders>
              <w:top w:val="nil"/>
              <w:left w:val="single" w:sz="8" w:space="0" w:color="000000"/>
              <w:bottom w:val="single" w:sz="8" w:space="0" w:color="000000"/>
              <w:right w:val="single" w:sz="8" w:space="0" w:color="000000"/>
            </w:tcBorders>
            <w:tcMar>
              <w:top w:w="0" w:type="dxa"/>
              <w:left w:w="20" w:type="dxa"/>
              <w:bottom w:w="0" w:type="dxa"/>
              <w:right w:w="20" w:type="dxa"/>
            </w:tcMar>
          </w:tcPr>
          <w:p w:rsidR="00173630" w:rsidRDefault="003835C1" w:rsidP="00C817AC">
            <w:pPr>
              <w:spacing w:before="240" w:after="120" w:line="360" w:lineRule="auto"/>
              <w:jc w:val="both"/>
              <w:rPr>
                <w:rFonts w:ascii="Arial" w:eastAsia="Arial" w:hAnsi="Arial" w:cs="Arial"/>
                <w:color w:val="010000"/>
                <w:sz w:val="20"/>
                <w:szCs w:val="20"/>
              </w:rPr>
            </w:pPr>
            <w:r>
              <w:rPr>
                <w:rFonts w:ascii="Arial" w:hAnsi="Arial"/>
                <w:color w:val="010000"/>
                <w:sz w:val="20"/>
              </w:rPr>
              <w:t>Profit after tax</w:t>
            </w:r>
          </w:p>
        </w:tc>
        <w:tc>
          <w:tcPr>
            <w:tcW w:w="2085" w:type="dxa"/>
            <w:tcBorders>
              <w:top w:val="nil"/>
              <w:left w:val="nil"/>
              <w:bottom w:val="single" w:sz="8" w:space="0" w:color="000000"/>
              <w:right w:val="single" w:sz="8" w:space="0" w:color="000000"/>
            </w:tcBorders>
            <w:tcMar>
              <w:top w:w="0" w:type="dxa"/>
              <w:left w:w="20" w:type="dxa"/>
              <w:bottom w:w="0" w:type="dxa"/>
              <w:right w:w="20" w:type="dxa"/>
            </w:tcMar>
          </w:tcPr>
          <w:p w:rsidR="00173630" w:rsidRDefault="003835C1" w:rsidP="00C817AC">
            <w:pPr>
              <w:spacing w:before="240" w:after="120" w:line="360" w:lineRule="auto"/>
              <w:jc w:val="center"/>
              <w:rPr>
                <w:rFonts w:ascii="Arial" w:eastAsia="Arial" w:hAnsi="Arial" w:cs="Arial"/>
                <w:color w:val="010000"/>
                <w:sz w:val="20"/>
                <w:szCs w:val="20"/>
              </w:rPr>
            </w:pPr>
            <w:r>
              <w:rPr>
                <w:rFonts w:ascii="Arial" w:hAnsi="Arial"/>
                <w:color w:val="010000"/>
                <w:sz w:val="20"/>
              </w:rPr>
              <w:t>(73,927,996,734)</w:t>
            </w:r>
          </w:p>
        </w:tc>
        <w:tc>
          <w:tcPr>
            <w:tcW w:w="2100" w:type="dxa"/>
            <w:tcBorders>
              <w:top w:val="nil"/>
              <w:left w:val="nil"/>
              <w:bottom w:val="single" w:sz="8" w:space="0" w:color="000000"/>
              <w:right w:val="single" w:sz="8" w:space="0" w:color="000000"/>
            </w:tcBorders>
            <w:tcMar>
              <w:top w:w="0" w:type="dxa"/>
              <w:left w:w="20" w:type="dxa"/>
              <w:bottom w:w="0" w:type="dxa"/>
              <w:right w:w="20" w:type="dxa"/>
            </w:tcMar>
          </w:tcPr>
          <w:p w:rsidR="00173630" w:rsidRDefault="003835C1" w:rsidP="00C817AC">
            <w:pPr>
              <w:spacing w:before="240" w:after="120" w:line="360" w:lineRule="auto"/>
              <w:jc w:val="center"/>
              <w:rPr>
                <w:rFonts w:ascii="Arial" w:eastAsia="Arial" w:hAnsi="Arial" w:cs="Arial"/>
                <w:color w:val="010000"/>
                <w:sz w:val="20"/>
                <w:szCs w:val="20"/>
              </w:rPr>
            </w:pPr>
            <w:r>
              <w:rPr>
                <w:rFonts w:ascii="Arial" w:hAnsi="Arial"/>
                <w:color w:val="010000"/>
                <w:sz w:val="20"/>
              </w:rPr>
              <w:t>2,645,393,403</w:t>
            </w:r>
          </w:p>
        </w:tc>
        <w:tc>
          <w:tcPr>
            <w:tcW w:w="1890" w:type="dxa"/>
            <w:tcBorders>
              <w:top w:val="nil"/>
              <w:left w:val="nil"/>
              <w:bottom w:val="single" w:sz="8" w:space="0" w:color="000000"/>
              <w:right w:val="single" w:sz="8" w:space="0" w:color="000000"/>
            </w:tcBorders>
            <w:tcMar>
              <w:top w:w="0" w:type="dxa"/>
              <w:left w:w="20" w:type="dxa"/>
              <w:bottom w:w="0" w:type="dxa"/>
              <w:right w:w="20" w:type="dxa"/>
            </w:tcMar>
          </w:tcPr>
          <w:p w:rsidR="00173630" w:rsidRDefault="003835C1" w:rsidP="00C817AC">
            <w:pPr>
              <w:spacing w:before="240" w:after="120" w:line="360" w:lineRule="auto"/>
              <w:jc w:val="center"/>
              <w:rPr>
                <w:rFonts w:ascii="Arial" w:eastAsia="Arial" w:hAnsi="Arial" w:cs="Arial"/>
                <w:color w:val="010000"/>
                <w:sz w:val="20"/>
                <w:szCs w:val="20"/>
              </w:rPr>
            </w:pPr>
            <w:r>
              <w:rPr>
                <w:rFonts w:ascii="Arial" w:hAnsi="Arial"/>
                <w:color w:val="010000"/>
                <w:sz w:val="20"/>
              </w:rPr>
              <w:t>-</w:t>
            </w:r>
          </w:p>
        </w:tc>
      </w:tr>
    </w:tbl>
    <w:p w:rsidR="00173630" w:rsidRDefault="003835C1" w:rsidP="00C817A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Article 3: </w:t>
      </w:r>
      <w:r>
        <w:rPr>
          <w:rFonts w:ascii="Arial" w:hAnsi="Arial"/>
          <w:color w:val="010000"/>
          <w:sz w:val="20"/>
        </w:rPr>
        <w:t>Approve the Report on activity results 2023 and operating direction 2024 of the Supervisory Board</w:t>
      </w:r>
      <w:r>
        <w:rPr>
          <w:rFonts w:ascii="Arial" w:hAnsi="Arial"/>
          <w:color w:val="010000"/>
          <w:sz w:val="20"/>
        </w:rPr>
        <w:t xml:space="preserve"> </w:t>
      </w:r>
    </w:p>
    <w:p w:rsidR="00173630" w:rsidRDefault="003835C1" w:rsidP="00C817A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lastRenderedPageBreak/>
        <w:t>Article 4: Approve the Financial Statements 2023</w:t>
      </w:r>
    </w:p>
    <w:p w:rsidR="00173630" w:rsidRDefault="003835C1" w:rsidP="00C817A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Article 5: </w:t>
      </w:r>
      <w:r>
        <w:rPr>
          <w:rFonts w:ascii="Arial" w:hAnsi="Arial"/>
          <w:color w:val="010000"/>
          <w:sz w:val="20"/>
        </w:rPr>
        <w:t>Approve the selection of an audit company to audit the Financial Statements 2024.</w:t>
      </w:r>
      <w:r>
        <w:rPr>
          <w:rFonts w:ascii="Arial" w:hAnsi="Arial"/>
          <w:color w:val="010000"/>
          <w:sz w:val="20"/>
        </w:rPr>
        <w:t xml:space="preserve"> </w:t>
      </w:r>
    </w:p>
    <w:p w:rsidR="00173630" w:rsidRDefault="003835C1" w:rsidP="00C817A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Article 6: </w:t>
      </w:r>
      <w:r>
        <w:rPr>
          <w:rFonts w:ascii="Arial" w:hAnsi="Arial"/>
          <w:color w:val="010000"/>
          <w:sz w:val="20"/>
        </w:rPr>
        <w:t>App</w:t>
      </w:r>
      <w:r>
        <w:rPr>
          <w:rFonts w:ascii="Arial" w:hAnsi="Arial"/>
          <w:color w:val="010000"/>
          <w:sz w:val="20"/>
        </w:rPr>
        <w:t>rove the Profit Distribution Plan 2023</w:t>
      </w:r>
      <w:r>
        <w:rPr>
          <w:rFonts w:ascii="Arial" w:hAnsi="Arial"/>
          <w:color w:val="010000"/>
          <w:sz w:val="20"/>
        </w:rPr>
        <w:t xml:space="preserve"> </w:t>
      </w:r>
    </w:p>
    <w:p w:rsidR="00173630" w:rsidRPr="00C817AC" w:rsidRDefault="003835C1" w:rsidP="00C817AC">
      <w:pPr>
        <w:pBdr>
          <w:top w:val="nil"/>
          <w:left w:val="nil"/>
          <w:bottom w:val="nil"/>
          <w:right w:val="nil"/>
          <w:between w:val="nil"/>
        </w:pBdr>
        <w:spacing w:after="120" w:line="360" w:lineRule="auto"/>
        <w:jc w:val="right"/>
        <w:rPr>
          <w:rFonts w:ascii="Arial" w:eastAsia="Arial" w:hAnsi="Arial" w:cs="Arial"/>
          <w:i/>
          <w:color w:val="010000"/>
          <w:sz w:val="20"/>
          <w:szCs w:val="20"/>
        </w:rPr>
      </w:pPr>
      <w:r w:rsidRPr="00C817AC">
        <w:rPr>
          <w:rFonts w:ascii="Arial" w:hAnsi="Arial"/>
          <w:i/>
          <w:color w:val="010000"/>
          <w:sz w:val="20"/>
        </w:rPr>
        <w:t>Unit:</w:t>
      </w:r>
      <w:r w:rsidRPr="00C817AC">
        <w:rPr>
          <w:rFonts w:ascii="Arial" w:hAnsi="Arial"/>
          <w:i/>
          <w:color w:val="010000"/>
          <w:sz w:val="20"/>
        </w:rPr>
        <w:t xml:space="preserve"> VND</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4"/>
        <w:gridCol w:w="5226"/>
        <w:gridCol w:w="3077"/>
      </w:tblGrid>
      <w:tr w:rsidR="00173630">
        <w:tc>
          <w:tcPr>
            <w:tcW w:w="714" w:type="dxa"/>
            <w:shd w:val="clear" w:color="auto" w:fill="auto"/>
            <w:tcMar>
              <w:top w:w="0" w:type="dxa"/>
              <w:bottom w:w="0" w:type="dxa"/>
            </w:tcMar>
            <w:vAlign w:val="center"/>
          </w:tcPr>
          <w:p w:rsidR="00173630" w:rsidRDefault="003835C1" w:rsidP="00C817AC">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No.</w:t>
            </w:r>
          </w:p>
        </w:tc>
        <w:tc>
          <w:tcPr>
            <w:tcW w:w="5226" w:type="dxa"/>
            <w:shd w:val="clear" w:color="auto" w:fill="auto"/>
            <w:tcMar>
              <w:top w:w="0" w:type="dxa"/>
              <w:bottom w:w="0" w:type="dxa"/>
            </w:tcMar>
            <w:vAlign w:val="center"/>
          </w:tcPr>
          <w:p w:rsidR="00173630" w:rsidRDefault="003835C1" w:rsidP="00C817AC">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Content</w:t>
            </w:r>
          </w:p>
        </w:tc>
        <w:tc>
          <w:tcPr>
            <w:tcW w:w="3077" w:type="dxa"/>
            <w:shd w:val="clear" w:color="auto" w:fill="auto"/>
            <w:tcMar>
              <w:top w:w="0" w:type="dxa"/>
              <w:bottom w:w="0" w:type="dxa"/>
            </w:tcMar>
            <w:vAlign w:val="center"/>
          </w:tcPr>
          <w:p w:rsidR="00173630" w:rsidRDefault="003835C1" w:rsidP="00C817AC">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Financial Statements</w:t>
            </w:r>
          </w:p>
        </w:tc>
      </w:tr>
      <w:tr w:rsidR="00173630">
        <w:tc>
          <w:tcPr>
            <w:tcW w:w="714" w:type="dxa"/>
            <w:shd w:val="clear" w:color="auto" w:fill="auto"/>
            <w:tcMar>
              <w:top w:w="0" w:type="dxa"/>
              <w:bottom w:w="0" w:type="dxa"/>
            </w:tcMar>
            <w:vAlign w:val="center"/>
          </w:tcPr>
          <w:p w:rsidR="00173630" w:rsidRDefault="003835C1" w:rsidP="00C817AC">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w:t>
            </w:r>
          </w:p>
        </w:tc>
        <w:tc>
          <w:tcPr>
            <w:tcW w:w="5226" w:type="dxa"/>
            <w:shd w:val="clear" w:color="auto" w:fill="auto"/>
            <w:tcMar>
              <w:top w:w="0" w:type="dxa"/>
              <w:bottom w:w="0" w:type="dxa"/>
            </w:tcMar>
            <w:vAlign w:val="center"/>
          </w:tcPr>
          <w:p w:rsidR="00173630" w:rsidRDefault="003835C1" w:rsidP="00C817A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Profit after tax achieved in 2023</w:t>
            </w:r>
          </w:p>
        </w:tc>
        <w:tc>
          <w:tcPr>
            <w:tcW w:w="3077" w:type="dxa"/>
            <w:shd w:val="clear" w:color="auto" w:fill="auto"/>
            <w:tcMar>
              <w:top w:w="0" w:type="dxa"/>
              <w:bottom w:w="0" w:type="dxa"/>
            </w:tcMar>
            <w:vAlign w:val="center"/>
          </w:tcPr>
          <w:p w:rsidR="00173630" w:rsidRDefault="003835C1" w:rsidP="00C817AC">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2,645,393,403</w:t>
            </w:r>
          </w:p>
        </w:tc>
      </w:tr>
      <w:tr w:rsidR="00173630">
        <w:tc>
          <w:tcPr>
            <w:tcW w:w="714" w:type="dxa"/>
            <w:shd w:val="clear" w:color="auto" w:fill="auto"/>
            <w:tcMar>
              <w:top w:w="0" w:type="dxa"/>
              <w:bottom w:w="0" w:type="dxa"/>
            </w:tcMar>
            <w:vAlign w:val="center"/>
          </w:tcPr>
          <w:p w:rsidR="00173630" w:rsidRDefault="003835C1" w:rsidP="00C817AC">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2</w:t>
            </w:r>
          </w:p>
        </w:tc>
        <w:tc>
          <w:tcPr>
            <w:tcW w:w="5226" w:type="dxa"/>
            <w:shd w:val="clear" w:color="auto" w:fill="auto"/>
            <w:tcMar>
              <w:top w:w="0" w:type="dxa"/>
              <w:bottom w:w="0" w:type="dxa"/>
            </w:tcMar>
            <w:vAlign w:val="center"/>
          </w:tcPr>
          <w:p w:rsidR="00173630" w:rsidRDefault="003835C1" w:rsidP="00C817A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Accumulated profit until December 31, 2023</w:t>
            </w:r>
          </w:p>
        </w:tc>
        <w:tc>
          <w:tcPr>
            <w:tcW w:w="3077" w:type="dxa"/>
            <w:shd w:val="clear" w:color="auto" w:fill="auto"/>
            <w:tcMar>
              <w:top w:w="0" w:type="dxa"/>
              <w:bottom w:w="0" w:type="dxa"/>
            </w:tcMar>
            <w:vAlign w:val="center"/>
          </w:tcPr>
          <w:p w:rsidR="00173630" w:rsidRDefault="003835C1" w:rsidP="00C817AC">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(48,916,965,348)</w:t>
            </w:r>
          </w:p>
        </w:tc>
      </w:tr>
      <w:tr w:rsidR="00173630">
        <w:tc>
          <w:tcPr>
            <w:tcW w:w="714" w:type="dxa"/>
            <w:shd w:val="clear" w:color="auto" w:fill="auto"/>
            <w:tcMar>
              <w:top w:w="0" w:type="dxa"/>
              <w:bottom w:w="0" w:type="dxa"/>
            </w:tcMar>
            <w:vAlign w:val="center"/>
          </w:tcPr>
          <w:p w:rsidR="00173630" w:rsidRDefault="003835C1" w:rsidP="00C817AC">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3</w:t>
            </w:r>
          </w:p>
        </w:tc>
        <w:tc>
          <w:tcPr>
            <w:tcW w:w="5226" w:type="dxa"/>
            <w:shd w:val="clear" w:color="auto" w:fill="auto"/>
            <w:tcMar>
              <w:top w:w="0" w:type="dxa"/>
              <w:bottom w:w="0" w:type="dxa"/>
            </w:tcMar>
            <w:vAlign w:val="center"/>
          </w:tcPr>
          <w:p w:rsidR="00173630" w:rsidRDefault="003835C1" w:rsidP="00C817A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Appropriation for funds</w:t>
            </w:r>
          </w:p>
        </w:tc>
        <w:tc>
          <w:tcPr>
            <w:tcW w:w="3077" w:type="dxa"/>
            <w:shd w:val="clear" w:color="auto" w:fill="auto"/>
            <w:tcMar>
              <w:top w:w="0" w:type="dxa"/>
              <w:bottom w:w="0" w:type="dxa"/>
            </w:tcMar>
            <w:vAlign w:val="center"/>
          </w:tcPr>
          <w:p w:rsidR="00173630" w:rsidRDefault="003835C1" w:rsidP="00C817AC">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0</w:t>
            </w:r>
          </w:p>
        </w:tc>
      </w:tr>
      <w:tr w:rsidR="00173630">
        <w:tc>
          <w:tcPr>
            <w:tcW w:w="714" w:type="dxa"/>
            <w:shd w:val="clear" w:color="auto" w:fill="auto"/>
            <w:tcMar>
              <w:top w:w="0" w:type="dxa"/>
              <w:bottom w:w="0" w:type="dxa"/>
            </w:tcMar>
            <w:vAlign w:val="center"/>
          </w:tcPr>
          <w:p w:rsidR="00173630" w:rsidRDefault="003835C1" w:rsidP="00C817AC">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4</w:t>
            </w:r>
          </w:p>
        </w:tc>
        <w:tc>
          <w:tcPr>
            <w:tcW w:w="5226" w:type="dxa"/>
            <w:shd w:val="clear" w:color="auto" w:fill="auto"/>
            <w:tcMar>
              <w:top w:w="0" w:type="dxa"/>
              <w:bottom w:w="0" w:type="dxa"/>
            </w:tcMar>
            <w:vAlign w:val="center"/>
          </w:tcPr>
          <w:p w:rsidR="00173630" w:rsidRDefault="003835C1" w:rsidP="00C817A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Dividends (by shares)</w:t>
            </w:r>
          </w:p>
        </w:tc>
        <w:tc>
          <w:tcPr>
            <w:tcW w:w="3077" w:type="dxa"/>
            <w:shd w:val="clear" w:color="auto" w:fill="auto"/>
            <w:tcMar>
              <w:top w:w="0" w:type="dxa"/>
              <w:bottom w:w="0" w:type="dxa"/>
            </w:tcMar>
            <w:vAlign w:val="center"/>
          </w:tcPr>
          <w:p w:rsidR="00173630" w:rsidRDefault="003835C1" w:rsidP="00C817AC">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0</w:t>
            </w:r>
          </w:p>
        </w:tc>
      </w:tr>
      <w:tr w:rsidR="00173630">
        <w:tc>
          <w:tcPr>
            <w:tcW w:w="714" w:type="dxa"/>
            <w:shd w:val="clear" w:color="auto" w:fill="auto"/>
            <w:tcMar>
              <w:top w:w="0" w:type="dxa"/>
              <w:bottom w:w="0" w:type="dxa"/>
            </w:tcMar>
            <w:vAlign w:val="center"/>
          </w:tcPr>
          <w:p w:rsidR="00173630" w:rsidRDefault="003835C1" w:rsidP="00C817AC">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5</w:t>
            </w:r>
          </w:p>
        </w:tc>
        <w:tc>
          <w:tcPr>
            <w:tcW w:w="5226" w:type="dxa"/>
            <w:shd w:val="clear" w:color="auto" w:fill="auto"/>
            <w:tcMar>
              <w:top w:w="0" w:type="dxa"/>
              <w:bottom w:w="0" w:type="dxa"/>
            </w:tcMar>
            <w:vAlign w:val="center"/>
          </w:tcPr>
          <w:p w:rsidR="00173630" w:rsidRDefault="003835C1" w:rsidP="00C817A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Undistributed profits (remaining amount)</w:t>
            </w:r>
          </w:p>
        </w:tc>
        <w:tc>
          <w:tcPr>
            <w:tcW w:w="3077" w:type="dxa"/>
            <w:shd w:val="clear" w:color="auto" w:fill="auto"/>
            <w:tcMar>
              <w:top w:w="0" w:type="dxa"/>
              <w:bottom w:w="0" w:type="dxa"/>
            </w:tcMar>
            <w:vAlign w:val="center"/>
          </w:tcPr>
          <w:p w:rsidR="00173630" w:rsidRDefault="003835C1" w:rsidP="00C817AC">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(48,916,965,348)</w:t>
            </w:r>
          </w:p>
        </w:tc>
      </w:tr>
    </w:tbl>
    <w:p w:rsidR="00173630" w:rsidRDefault="003835C1" w:rsidP="00C817A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Article 7: </w:t>
      </w:r>
      <w:r>
        <w:rPr>
          <w:rFonts w:ascii="Arial" w:hAnsi="Arial"/>
          <w:color w:val="010000"/>
          <w:sz w:val="20"/>
        </w:rPr>
        <w:t>Approve the Company's production and business plan for 2024</w:t>
      </w:r>
    </w:p>
    <w:p w:rsidR="00173630" w:rsidRDefault="003835C1" w:rsidP="00C817A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Specifically as follows:</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4392"/>
        <w:gridCol w:w="3910"/>
      </w:tblGrid>
      <w:tr w:rsidR="00173630" w:rsidTr="00C817AC">
        <w:tc>
          <w:tcPr>
            <w:tcW w:w="715" w:type="dxa"/>
            <w:shd w:val="clear" w:color="auto" w:fill="auto"/>
            <w:tcMar>
              <w:top w:w="0" w:type="dxa"/>
              <w:bottom w:w="0" w:type="dxa"/>
            </w:tcMar>
            <w:vAlign w:val="center"/>
          </w:tcPr>
          <w:p w:rsidR="00173630" w:rsidRDefault="003835C1" w:rsidP="00C817AC">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No.</w:t>
            </w:r>
          </w:p>
        </w:tc>
        <w:tc>
          <w:tcPr>
            <w:tcW w:w="4392" w:type="dxa"/>
            <w:shd w:val="clear" w:color="auto" w:fill="auto"/>
            <w:tcMar>
              <w:top w:w="0" w:type="dxa"/>
              <w:bottom w:w="0" w:type="dxa"/>
            </w:tcMar>
            <w:vAlign w:val="center"/>
          </w:tcPr>
          <w:p w:rsidR="00173630" w:rsidRDefault="003835C1" w:rsidP="00C817AC">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Plan</w:t>
            </w:r>
          </w:p>
        </w:tc>
        <w:tc>
          <w:tcPr>
            <w:tcW w:w="3910" w:type="dxa"/>
            <w:shd w:val="clear" w:color="auto" w:fill="auto"/>
            <w:tcMar>
              <w:top w:w="0" w:type="dxa"/>
              <w:bottom w:w="0" w:type="dxa"/>
            </w:tcMar>
            <w:vAlign w:val="center"/>
          </w:tcPr>
          <w:p w:rsidR="00173630" w:rsidRDefault="003835C1" w:rsidP="00C817AC">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2024</w:t>
            </w:r>
          </w:p>
        </w:tc>
      </w:tr>
      <w:tr w:rsidR="00173630" w:rsidTr="00C817AC">
        <w:tc>
          <w:tcPr>
            <w:tcW w:w="715" w:type="dxa"/>
            <w:shd w:val="clear" w:color="auto" w:fill="auto"/>
            <w:tcMar>
              <w:top w:w="0" w:type="dxa"/>
              <w:bottom w:w="0" w:type="dxa"/>
            </w:tcMar>
            <w:vAlign w:val="center"/>
          </w:tcPr>
          <w:p w:rsidR="00173630" w:rsidRDefault="003835C1" w:rsidP="00C817AC">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w:t>
            </w:r>
          </w:p>
        </w:tc>
        <w:tc>
          <w:tcPr>
            <w:tcW w:w="4392" w:type="dxa"/>
            <w:shd w:val="clear" w:color="auto" w:fill="auto"/>
            <w:tcMar>
              <w:top w:w="0" w:type="dxa"/>
              <w:bottom w:w="0" w:type="dxa"/>
            </w:tcMar>
            <w:vAlign w:val="center"/>
          </w:tcPr>
          <w:p w:rsidR="00173630" w:rsidRDefault="003835C1" w:rsidP="00C817A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Net revenue (VND)</w:t>
            </w:r>
          </w:p>
        </w:tc>
        <w:tc>
          <w:tcPr>
            <w:tcW w:w="3910" w:type="dxa"/>
            <w:shd w:val="clear" w:color="auto" w:fill="auto"/>
            <w:tcMar>
              <w:top w:w="0" w:type="dxa"/>
              <w:bottom w:w="0" w:type="dxa"/>
            </w:tcMar>
            <w:vAlign w:val="center"/>
          </w:tcPr>
          <w:p w:rsidR="00173630" w:rsidRDefault="003835C1" w:rsidP="00C817AC">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5,000,000,000,000</w:t>
            </w:r>
          </w:p>
        </w:tc>
      </w:tr>
      <w:tr w:rsidR="00173630" w:rsidTr="00C817AC">
        <w:tc>
          <w:tcPr>
            <w:tcW w:w="715" w:type="dxa"/>
            <w:shd w:val="clear" w:color="auto" w:fill="auto"/>
            <w:tcMar>
              <w:top w:w="0" w:type="dxa"/>
              <w:bottom w:w="0" w:type="dxa"/>
            </w:tcMar>
            <w:vAlign w:val="center"/>
          </w:tcPr>
          <w:p w:rsidR="00173630" w:rsidRDefault="003835C1" w:rsidP="00C817AC">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2</w:t>
            </w:r>
          </w:p>
        </w:tc>
        <w:tc>
          <w:tcPr>
            <w:tcW w:w="4392" w:type="dxa"/>
            <w:shd w:val="clear" w:color="auto" w:fill="auto"/>
            <w:tcMar>
              <w:top w:w="0" w:type="dxa"/>
              <w:bottom w:w="0" w:type="dxa"/>
            </w:tcMar>
            <w:vAlign w:val="center"/>
          </w:tcPr>
          <w:p w:rsidR="00173630" w:rsidRDefault="003835C1" w:rsidP="00C817A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Profit before tax (VND)</w:t>
            </w:r>
          </w:p>
        </w:tc>
        <w:tc>
          <w:tcPr>
            <w:tcW w:w="3910" w:type="dxa"/>
            <w:shd w:val="clear" w:color="auto" w:fill="auto"/>
            <w:tcMar>
              <w:top w:w="0" w:type="dxa"/>
              <w:bottom w:w="0" w:type="dxa"/>
            </w:tcMar>
            <w:vAlign w:val="center"/>
          </w:tcPr>
          <w:p w:rsidR="00173630" w:rsidRDefault="003835C1" w:rsidP="00C817AC">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10,000,000,000</w:t>
            </w:r>
          </w:p>
        </w:tc>
      </w:tr>
      <w:tr w:rsidR="00173630" w:rsidTr="00C817AC">
        <w:tc>
          <w:tcPr>
            <w:tcW w:w="715" w:type="dxa"/>
            <w:shd w:val="clear" w:color="auto" w:fill="auto"/>
            <w:tcMar>
              <w:top w:w="0" w:type="dxa"/>
              <w:bottom w:w="0" w:type="dxa"/>
            </w:tcMar>
            <w:vAlign w:val="center"/>
          </w:tcPr>
          <w:p w:rsidR="00173630" w:rsidRDefault="003835C1" w:rsidP="00C817AC">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3</w:t>
            </w:r>
          </w:p>
        </w:tc>
        <w:tc>
          <w:tcPr>
            <w:tcW w:w="4392" w:type="dxa"/>
            <w:shd w:val="clear" w:color="auto" w:fill="auto"/>
            <w:tcMar>
              <w:top w:w="0" w:type="dxa"/>
              <w:bottom w:w="0" w:type="dxa"/>
            </w:tcMar>
            <w:vAlign w:val="center"/>
          </w:tcPr>
          <w:p w:rsidR="00173630" w:rsidRDefault="003835C1" w:rsidP="00C817A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Profit after tax (VND)</w:t>
            </w:r>
          </w:p>
        </w:tc>
        <w:tc>
          <w:tcPr>
            <w:tcW w:w="3910" w:type="dxa"/>
            <w:shd w:val="clear" w:color="auto" w:fill="auto"/>
            <w:tcMar>
              <w:top w:w="0" w:type="dxa"/>
              <w:bottom w:w="0" w:type="dxa"/>
            </w:tcMar>
            <w:vAlign w:val="center"/>
          </w:tcPr>
          <w:p w:rsidR="00173630" w:rsidRDefault="003835C1" w:rsidP="00C817AC">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10,000,000,000</w:t>
            </w:r>
          </w:p>
        </w:tc>
      </w:tr>
      <w:tr w:rsidR="00173630" w:rsidTr="00C817AC">
        <w:tc>
          <w:tcPr>
            <w:tcW w:w="715" w:type="dxa"/>
            <w:shd w:val="clear" w:color="auto" w:fill="auto"/>
            <w:tcMar>
              <w:top w:w="0" w:type="dxa"/>
              <w:bottom w:w="0" w:type="dxa"/>
            </w:tcMar>
            <w:vAlign w:val="center"/>
          </w:tcPr>
          <w:p w:rsidR="00173630" w:rsidRDefault="003835C1" w:rsidP="00C817AC">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4</w:t>
            </w:r>
          </w:p>
        </w:tc>
        <w:tc>
          <w:tcPr>
            <w:tcW w:w="4392" w:type="dxa"/>
            <w:shd w:val="clear" w:color="auto" w:fill="auto"/>
            <w:tcMar>
              <w:top w:w="0" w:type="dxa"/>
              <w:bottom w:w="0" w:type="dxa"/>
            </w:tcMar>
            <w:vAlign w:val="center"/>
          </w:tcPr>
          <w:p w:rsidR="00173630" w:rsidRDefault="003835C1" w:rsidP="00C817A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Charter capital (VND)</w:t>
            </w:r>
          </w:p>
        </w:tc>
        <w:tc>
          <w:tcPr>
            <w:tcW w:w="3910" w:type="dxa"/>
            <w:shd w:val="clear" w:color="auto" w:fill="auto"/>
            <w:tcMar>
              <w:top w:w="0" w:type="dxa"/>
              <w:bottom w:w="0" w:type="dxa"/>
            </w:tcMar>
            <w:vAlign w:val="center"/>
          </w:tcPr>
          <w:p w:rsidR="00173630" w:rsidRDefault="003835C1" w:rsidP="00C817AC">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500,000,000,000</w:t>
            </w:r>
          </w:p>
        </w:tc>
      </w:tr>
      <w:tr w:rsidR="00173630" w:rsidTr="00C817AC">
        <w:tc>
          <w:tcPr>
            <w:tcW w:w="715" w:type="dxa"/>
            <w:shd w:val="clear" w:color="auto" w:fill="auto"/>
            <w:tcMar>
              <w:top w:w="0" w:type="dxa"/>
              <w:bottom w:w="0" w:type="dxa"/>
            </w:tcMar>
            <w:vAlign w:val="center"/>
          </w:tcPr>
          <w:p w:rsidR="00173630" w:rsidRDefault="003835C1" w:rsidP="00C817AC">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5</w:t>
            </w:r>
          </w:p>
        </w:tc>
        <w:tc>
          <w:tcPr>
            <w:tcW w:w="4392" w:type="dxa"/>
            <w:shd w:val="clear" w:color="auto" w:fill="auto"/>
            <w:tcMar>
              <w:top w:w="0" w:type="dxa"/>
              <w:bottom w:w="0" w:type="dxa"/>
            </w:tcMar>
            <w:vAlign w:val="center"/>
          </w:tcPr>
          <w:p w:rsidR="00173630" w:rsidRDefault="003835C1" w:rsidP="00C817A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Basic profit (VND/share)</w:t>
            </w:r>
          </w:p>
        </w:tc>
        <w:tc>
          <w:tcPr>
            <w:tcW w:w="3910" w:type="dxa"/>
            <w:shd w:val="clear" w:color="auto" w:fill="auto"/>
            <w:tcMar>
              <w:top w:w="0" w:type="dxa"/>
              <w:bottom w:w="0" w:type="dxa"/>
            </w:tcMar>
            <w:vAlign w:val="center"/>
          </w:tcPr>
          <w:p w:rsidR="00173630" w:rsidRDefault="003835C1" w:rsidP="00C817AC">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200</w:t>
            </w:r>
          </w:p>
        </w:tc>
      </w:tr>
    </w:tbl>
    <w:p w:rsidR="00173630" w:rsidRDefault="003835C1" w:rsidP="00C817A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8:</w:t>
      </w:r>
      <w:r>
        <w:rPr>
          <w:rFonts w:ascii="Arial" w:hAnsi="Arial"/>
          <w:color w:val="010000"/>
          <w:sz w:val="20"/>
        </w:rPr>
        <w:t xml:space="preserve"> </w:t>
      </w:r>
      <w:r>
        <w:rPr>
          <w:rFonts w:ascii="Arial" w:hAnsi="Arial"/>
          <w:color w:val="010000"/>
          <w:sz w:val="20"/>
        </w:rPr>
        <w:t>Approve the remuneration settlement 2023 and remuneration estimate 2024 for members of the Board of Directors and the Supervisory Board</w:t>
      </w:r>
      <w:r>
        <w:rPr>
          <w:rFonts w:ascii="Arial" w:hAnsi="Arial"/>
          <w:color w:val="010000"/>
          <w:sz w:val="20"/>
        </w:rPr>
        <w:t xml:space="preserve"> </w:t>
      </w:r>
    </w:p>
    <w:p w:rsidR="00173630" w:rsidRDefault="003835C1" w:rsidP="00C817A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Article 9: </w:t>
      </w:r>
      <w:r>
        <w:rPr>
          <w:rFonts w:ascii="Arial" w:hAnsi="Arial"/>
          <w:color w:val="010000"/>
          <w:sz w:val="20"/>
        </w:rPr>
        <w:t>Approve the implementation of the Company's investment policy in subsidiaries</w:t>
      </w:r>
      <w:r>
        <w:rPr>
          <w:rFonts w:ascii="Arial" w:hAnsi="Arial"/>
          <w:color w:val="010000"/>
          <w:sz w:val="20"/>
        </w:rPr>
        <w:t xml:space="preserve"> </w:t>
      </w:r>
    </w:p>
    <w:p w:rsidR="00173630" w:rsidRDefault="003835C1" w:rsidP="00C817A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Article 10: </w:t>
      </w:r>
      <w:r>
        <w:rPr>
          <w:rFonts w:ascii="Arial" w:hAnsi="Arial"/>
          <w:color w:val="010000"/>
          <w:sz w:val="20"/>
        </w:rPr>
        <w:t>Approve amendment</w:t>
      </w:r>
      <w:r>
        <w:rPr>
          <w:rFonts w:ascii="Arial" w:hAnsi="Arial"/>
          <w:color w:val="010000"/>
          <w:sz w:val="20"/>
        </w:rPr>
        <w:t xml:space="preserve">s to the Company's Charter </w:t>
      </w:r>
    </w:p>
    <w:p w:rsidR="00173630" w:rsidRDefault="003835C1" w:rsidP="00C817A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Article 11: </w:t>
      </w:r>
      <w:r>
        <w:rPr>
          <w:rFonts w:ascii="Arial" w:hAnsi="Arial"/>
          <w:color w:val="010000"/>
          <w:sz w:val="20"/>
        </w:rPr>
        <w:t>Approve the policy of liquidation and sale of the Company's assets</w:t>
      </w:r>
      <w:r>
        <w:rPr>
          <w:rFonts w:ascii="Arial" w:hAnsi="Arial"/>
          <w:color w:val="010000"/>
          <w:sz w:val="20"/>
        </w:rPr>
        <w:t xml:space="preserve"> </w:t>
      </w:r>
    </w:p>
    <w:p w:rsidR="00173630" w:rsidRDefault="003835C1" w:rsidP="00C817A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Article 12: </w:t>
      </w:r>
      <w:r>
        <w:rPr>
          <w:rFonts w:ascii="Arial" w:hAnsi="Arial"/>
          <w:color w:val="010000"/>
          <w:sz w:val="20"/>
        </w:rPr>
        <w:t>Approve the private placement plan to increase the Company's charter capital</w:t>
      </w:r>
    </w:p>
    <w:p w:rsidR="00173630" w:rsidRDefault="003835C1" w:rsidP="00C817AC">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bookmarkStart w:id="0" w:name="_heading=h.gjdgxs"/>
      <w:bookmarkEnd w:id="0"/>
      <w:r>
        <w:rPr>
          <w:rFonts w:ascii="Arial" w:hAnsi="Arial"/>
          <w:color w:val="010000"/>
          <w:sz w:val="20"/>
        </w:rPr>
        <w:t>Private placement plan</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9"/>
        <w:gridCol w:w="2909"/>
        <w:gridCol w:w="5549"/>
      </w:tblGrid>
      <w:tr w:rsidR="00173630">
        <w:tc>
          <w:tcPr>
            <w:tcW w:w="559" w:type="dxa"/>
            <w:shd w:val="clear" w:color="auto" w:fill="auto"/>
            <w:tcMar>
              <w:top w:w="0" w:type="dxa"/>
              <w:bottom w:w="0" w:type="dxa"/>
            </w:tcMar>
            <w:vAlign w:val="center"/>
          </w:tcPr>
          <w:p w:rsidR="00173630" w:rsidRDefault="003835C1" w:rsidP="003835C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w:t>
            </w:r>
          </w:p>
        </w:tc>
        <w:tc>
          <w:tcPr>
            <w:tcW w:w="2909" w:type="dxa"/>
            <w:shd w:val="clear" w:color="auto" w:fill="auto"/>
            <w:tcMar>
              <w:top w:w="0" w:type="dxa"/>
              <w:bottom w:w="0" w:type="dxa"/>
            </w:tcMar>
            <w:vAlign w:val="center"/>
          </w:tcPr>
          <w:p w:rsidR="00173630" w:rsidRDefault="003835C1" w:rsidP="00C817A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Issuer </w:t>
            </w:r>
          </w:p>
        </w:tc>
        <w:tc>
          <w:tcPr>
            <w:tcW w:w="5549" w:type="dxa"/>
            <w:shd w:val="clear" w:color="auto" w:fill="auto"/>
            <w:tcMar>
              <w:top w:w="0" w:type="dxa"/>
              <w:bottom w:w="0" w:type="dxa"/>
            </w:tcMar>
            <w:vAlign w:val="center"/>
          </w:tcPr>
          <w:p w:rsidR="00173630" w:rsidRDefault="003835C1" w:rsidP="00C817A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B.C.H Joint Stock Company</w:t>
            </w:r>
          </w:p>
        </w:tc>
      </w:tr>
      <w:tr w:rsidR="00173630">
        <w:tc>
          <w:tcPr>
            <w:tcW w:w="559" w:type="dxa"/>
            <w:shd w:val="clear" w:color="auto" w:fill="auto"/>
            <w:tcMar>
              <w:top w:w="0" w:type="dxa"/>
              <w:bottom w:w="0" w:type="dxa"/>
            </w:tcMar>
            <w:vAlign w:val="center"/>
          </w:tcPr>
          <w:p w:rsidR="00173630" w:rsidRDefault="003835C1" w:rsidP="003835C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2</w:t>
            </w:r>
          </w:p>
        </w:tc>
        <w:tc>
          <w:tcPr>
            <w:tcW w:w="2909" w:type="dxa"/>
            <w:shd w:val="clear" w:color="auto" w:fill="auto"/>
            <w:tcMar>
              <w:top w:w="0" w:type="dxa"/>
              <w:bottom w:w="0" w:type="dxa"/>
            </w:tcMar>
            <w:vAlign w:val="center"/>
          </w:tcPr>
          <w:p w:rsidR="00173630" w:rsidRDefault="003835C1" w:rsidP="00C817A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Share name:</w:t>
            </w:r>
          </w:p>
        </w:tc>
        <w:tc>
          <w:tcPr>
            <w:tcW w:w="5549" w:type="dxa"/>
            <w:shd w:val="clear" w:color="auto" w:fill="auto"/>
            <w:tcMar>
              <w:top w:w="0" w:type="dxa"/>
              <w:bottom w:w="0" w:type="dxa"/>
            </w:tcMar>
            <w:vAlign w:val="center"/>
          </w:tcPr>
          <w:p w:rsidR="00173630" w:rsidRDefault="003835C1" w:rsidP="00C817A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Shares of B.C.H Joint Stock Company</w:t>
            </w:r>
          </w:p>
        </w:tc>
      </w:tr>
      <w:tr w:rsidR="00173630">
        <w:tc>
          <w:tcPr>
            <w:tcW w:w="559" w:type="dxa"/>
            <w:shd w:val="clear" w:color="auto" w:fill="auto"/>
            <w:tcMar>
              <w:top w:w="0" w:type="dxa"/>
              <w:bottom w:w="0" w:type="dxa"/>
            </w:tcMar>
            <w:vAlign w:val="center"/>
          </w:tcPr>
          <w:p w:rsidR="00173630" w:rsidRDefault="003835C1" w:rsidP="003835C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3</w:t>
            </w:r>
          </w:p>
        </w:tc>
        <w:tc>
          <w:tcPr>
            <w:tcW w:w="2909" w:type="dxa"/>
            <w:shd w:val="clear" w:color="auto" w:fill="auto"/>
            <w:tcMar>
              <w:top w:w="0" w:type="dxa"/>
              <w:bottom w:w="0" w:type="dxa"/>
            </w:tcMar>
            <w:vAlign w:val="center"/>
          </w:tcPr>
          <w:p w:rsidR="00173630" w:rsidRDefault="003835C1" w:rsidP="00C817A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Securities code:</w:t>
            </w:r>
          </w:p>
        </w:tc>
        <w:tc>
          <w:tcPr>
            <w:tcW w:w="5549" w:type="dxa"/>
            <w:shd w:val="clear" w:color="auto" w:fill="auto"/>
            <w:tcMar>
              <w:top w:w="0" w:type="dxa"/>
              <w:bottom w:w="0" w:type="dxa"/>
            </w:tcMar>
            <w:vAlign w:val="center"/>
          </w:tcPr>
          <w:p w:rsidR="00173630" w:rsidRDefault="003835C1" w:rsidP="00C817A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BCA</w:t>
            </w:r>
          </w:p>
        </w:tc>
      </w:tr>
      <w:tr w:rsidR="00173630">
        <w:tc>
          <w:tcPr>
            <w:tcW w:w="559" w:type="dxa"/>
            <w:shd w:val="clear" w:color="auto" w:fill="auto"/>
            <w:tcMar>
              <w:top w:w="0" w:type="dxa"/>
              <w:bottom w:w="0" w:type="dxa"/>
            </w:tcMar>
            <w:vAlign w:val="center"/>
          </w:tcPr>
          <w:p w:rsidR="00173630" w:rsidRDefault="003835C1" w:rsidP="003835C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4</w:t>
            </w:r>
          </w:p>
        </w:tc>
        <w:tc>
          <w:tcPr>
            <w:tcW w:w="2909" w:type="dxa"/>
            <w:shd w:val="clear" w:color="auto" w:fill="auto"/>
            <w:tcMar>
              <w:top w:w="0" w:type="dxa"/>
              <w:bottom w:w="0" w:type="dxa"/>
            </w:tcMar>
            <w:vAlign w:val="center"/>
          </w:tcPr>
          <w:p w:rsidR="00173630" w:rsidRDefault="003835C1" w:rsidP="00C817A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Type of shares to be issued:</w:t>
            </w:r>
          </w:p>
        </w:tc>
        <w:tc>
          <w:tcPr>
            <w:tcW w:w="5549" w:type="dxa"/>
            <w:shd w:val="clear" w:color="auto" w:fill="auto"/>
            <w:tcMar>
              <w:top w:w="0" w:type="dxa"/>
              <w:bottom w:w="0" w:type="dxa"/>
            </w:tcMar>
            <w:vAlign w:val="center"/>
          </w:tcPr>
          <w:p w:rsidR="00173630" w:rsidRDefault="003835C1" w:rsidP="00C817A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Common shares</w:t>
            </w:r>
          </w:p>
        </w:tc>
      </w:tr>
      <w:tr w:rsidR="00173630">
        <w:tc>
          <w:tcPr>
            <w:tcW w:w="559" w:type="dxa"/>
            <w:shd w:val="clear" w:color="auto" w:fill="auto"/>
            <w:tcMar>
              <w:top w:w="0" w:type="dxa"/>
              <w:bottom w:w="0" w:type="dxa"/>
            </w:tcMar>
            <w:vAlign w:val="center"/>
          </w:tcPr>
          <w:p w:rsidR="00173630" w:rsidRDefault="003835C1" w:rsidP="003835C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lastRenderedPageBreak/>
              <w:t>5</w:t>
            </w:r>
          </w:p>
        </w:tc>
        <w:tc>
          <w:tcPr>
            <w:tcW w:w="2909" w:type="dxa"/>
            <w:shd w:val="clear" w:color="auto" w:fill="auto"/>
            <w:tcMar>
              <w:top w:w="0" w:type="dxa"/>
              <w:bottom w:w="0" w:type="dxa"/>
            </w:tcMar>
            <w:vAlign w:val="center"/>
          </w:tcPr>
          <w:p w:rsidR="00173630" w:rsidRDefault="003835C1" w:rsidP="00C817A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Par value:</w:t>
            </w:r>
          </w:p>
        </w:tc>
        <w:tc>
          <w:tcPr>
            <w:tcW w:w="5549" w:type="dxa"/>
            <w:shd w:val="clear" w:color="auto" w:fill="auto"/>
            <w:tcMar>
              <w:top w:w="0" w:type="dxa"/>
              <w:bottom w:w="0" w:type="dxa"/>
            </w:tcMar>
            <w:vAlign w:val="center"/>
          </w:tcPr>
          <w:p w:rsidR="00173630" w:rsidRDefault="003835C1" w:rsidP="00C817A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VND 10,000/share</w:t>
            </w:r>
          </w:p>
        </w:tc>
      </w:tr>
      <w:tr w:rsidR="00173630">
        <w:tc>
          <w:tcPr>
            <w:tcW w:w="559" w:type="dxa"/>
            <w:shd w:val="clear" w:color="auto" w:fill="auto"/>
            <w:tcMar>
              <w:top w:w="0" w:type="dxa"/>
              <w:bottom w:w="0" w:type="dxa"/>
            </w:tcMar>
            <w:vAlign w:val="center"/>
          </w:tcPr>
          <w:p w:rsidR="00173630" w:rsidRDefault="003835C1" w:rsidP="003835C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6</w:t>
            </w:r>
          </w:p>
        </w:tc>
        <w:tc>
          <w:tcPr>
            <w:tcW w:w="2909" w:type="dxa"/>
            <w:shd w:val="clear" w:color="auto" w:fill="auto"/>
            <w:tcMar>
              <w:top w:w="0" w:type="dxa"/>
              <w:bottom w:w="0" w:type="dxa"/>
            </w:tcMar>
            <w:vAlign w:val="center"/>
          </w:tcPr>
          <w:p w:rsidR="00173630" w:rsidRDefault="003835C1" w:rsidP="00C817A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Number of shares before issuance:</w:t>
            </w:r>
          </w:p>
        </w:tc>
        <w:tc>
          <w:tcPr>
            <w:tcW w:w="5549" w:type="dxa"/>
            <w:shd w:val="clear" w:color="auto" w:fill="auto"/>
            <w:tcMar>
              <w:top w:w="0" w:type="dxa"/>
              <w:bottom w:w="0" w:type="dxa"/>
            </w:tcMar>
            <w:vAlign w:val="center"/>
          </w:tcPr>
          <w:p w:rsidR="00173630" w:rsidRDefault="003835C1" w:rsidP="00C817A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19,000,000 shares</w:t>
            </w:r>
          </w:p>
        </w:tc>
      </w:tr>
      <w:tr w:rsidR="00173630">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173630" w:rsidRDefault="003835C1" w:rsidP="003835C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7</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173630" w:rsidRDefault="003835C1" w:rsidP="00C817A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Charter capital before issuance</w:t>
            </w:r>
          </w:p>
        </w:tc>
        <w:tc>
          <w:tcPr>
            <w:tcW w:w="554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173630" w:rsidRDefault="003835C1" w:rsidP="00C817A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VND 190,000,000,000</w:t>
            </w:r>
          </w:p>
        </w:tc>
      </w:tr>
      <w:tr w:rsidR="00173630">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173630" w:rsidRDefault="003835C1" w:rsidP="003835C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8</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173630" w:rsidRDefault="003835C1" w:rsidP="00C817A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Issue form</w:t>
            </w:r>
          </w:p>
        </w:tc>
        <w:tc>
          <w:tcPr>
            <w:tcW w:w="554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173630" w:rsidRDefault="003835C1" w:rsidP="00C817A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Private placement for professional securities investors</w:t>
            </w:r>
          </w:p>
        </w:tc>
      </w:tr>
      <w:tr w:rsidR="00173630">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173630" w:rsidRDefault="003835C1" w:rsidP="003835C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9</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173630" w:rsidRDefault="003835C1" w:rsidP="00C817A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Number of issued shares:</w:t>
            </w:r>
          </w:p>
        </w:tc>
        <w:tc>
          <w:tcPr>
            <w:tcW w:w="554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173630" w:rsidRDefault="003835C1" w:rsidP="00C817A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31,000,000 shares.</w:t>
            </w:r>
          </w:p>
        </w:tc>
      </w:tr>
      <w:tr w:rsidR="00173630">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173630" w:rsidRDefault="003835C1" w:rsidP="003835C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10</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173630" w:rsidRDefault="003835C1" w:rsidP="00C817A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Total value of shares issued at par value:</w:t>
            </w:r>
          </w:p>
        </w:tc>
        <w:tc>
          <w:tcPr>
            <w:tcW w:w="554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173630" w:rsidRDefault="003835C1" w:rsidP="00C817A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VND 310,000,000,000.</w:t>
            </w:r>
          </w:p>
        </w:tc>
      </w:tr>
      <w:tr w:rsidR="00173630">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173630" w:rsidRDefault="003835C1" w:rsidP="003835C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11</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173630" w:rsidRDefault="003835C1" w:rsidP="00C817A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Expected issuance rate over charter capital:</w:t>
            </w:r>
          </w:p>
        </w:tc>
        <w:tc>
          <w:tcPr>
            <w:tcW w:w="554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173630" w:rsidRDefault="003835C1" w:rsidP="00C817A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163.16%</w:t>
            </w:r>
          </w:p>
        </w:tc>
      </w:tr>
      <w:tr w:rsidR="00173630">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173630" w:rsidRDefault="003835C1" w:rsidP="003835C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12</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173630" w:rsidRDefault="003835C1" w:rsidP="00C817A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Expected charter capital after issuance:</w:t>
            </w:r>
          </w:p>
        </w:tc>
        <w:tc>
          <w:tcPr>
            <w:tcW w:w="554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173630" w:rsidRDefault="003835C1" w:rsidP="00C817A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VND 500,000,000</w:t>
            </w:r>
          </w:p>
        </w:tc>
      </w:tr>
      <w:tr w:rsidR="00173630">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173630" w:rsidRDefault="003835C1" w:rsidP="003835C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13</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173630" w:rsidRDefault="003835C1" w:rsidP="00C817A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Subject of the issuance:</w:t>
            </w:r>
          </w:p>
        </w:tc>
        <w:tc>
          <w:tcPr>
            <w:tcW w:w="554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173630" w:rsidRDefault="003835C1" w:rsidP="00C817A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Professional securities investors according to the provisions of the Law on Securities 2019 and related guiding documents who meet the criteria set by the Gen</w:t>
            </w:r>
            <w:r>
              <w:rPr>
                <w:rFonts w:ascii="Arial" w:hAnsi="Arial"/>
                <w:color w:val="010000"/>
                <w:sz w:val="20"/>
              </w:rPr>
              <w:t>eral Meeting of Shareholders.</w:t>
            </w:r>
          </w:p>
        </w:tc>
      </w:tr>
      <w:tr w:rsidR="00173630">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173630" w:rsidRDefault="003835C1" w:rsidP="003835C1">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14</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173630" w:rsidRDefault="003835C1" w:rsidP="00C817A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Execution time:</w:t>
            </w:r>
          </w:p>
        </w:tc>
        <w:tc>
          <w:tcPr>
            <w:tcW w:w="554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173630" w:rsidRDefault="003835C1" w:rsidP="00C817A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Expected in Q2 or Q3/2024 and after approval from the State Securities Commission</w:t>
            </w:r>
          </w:p>
        </w:tc>
      </w:tr>
    </w:tbl>
    <w:p w:rsidR="00173630" w:rsidRDefault="003835C1" w:rsidP="00C817A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The General Meeting of Shareholders authorized the Board of Directors to develop a detailed issuance plan and issue a price plan to submit to the nearest General Meeting of Shareholders for approval.</w:t>
      </w:r>
    </w:p>
    <w:p w:rsidR="00173630" w:rsidRDefault="003835C1" w:rsidP="00C817A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13: Terms of enforcement</w:t>
      </w:r>
    </w:p>
    <w:p w:rsidR="00173630" w:rsidRDefault="003835C1" w:rsidP="00C817A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Shareholders, the Board of Directors, the Board of Management of the Company, and </w:t>
      </w:r>
      <w:bookmarkStart w:id="1" w:name="_GoBack"/>
      <w:bookmarkEnd w:id="1"/>
      <w:r>
        <w:rPr>
          <w:rFonts w:ascii="Arial" w:hAnsi="Arial"/>
          <w:color w:val="010000"/>
          <w:sz w:val="20"/>
        </w:rPr>
        <w:t>Heads</w:t>
      </w:r>
      <w:r w:rsidR="00C817AC">
        <w:rPr>
          <w:rFonts w:ascii="Arial" w:hAnsi="Arial"/>
          <w:color w:val="010000"/>
          <w:sz w:val="20"/>
        </w:rPr>
        <w:t>,</w:t>
      </w:r>
      <w:r>
        <w:rPr>
          <w:rFonts w:ascii="Arial" w:hAnsi="Arial"/>
          <w:color w:val="010000"/>
          <w:sz w:val="20"/>
        </w:rPr>
        <w:t xml:space="preserve"> and Deputy Heads of Departments are responsible for implementing this General Mandate </w:t>
      </w:r>
      <w:r w:rsidR="00C817AC">
        <w:rPr>
          <w:rFonts w:ascii="Arial" w:hAnsi="Arial"/>
          <w:color w:val="010000"/>
          <w:sz w:val="20"/>
        </w:rPr>
        <w:t>following</w:t>
      </w:r>
      <w:r>
        <w:rPr>
          <w:rFonts w:ascii="Arial" w:hAnsi="Arial"/>
          <w:color w:val="010000"/>
          <w:sz w:val="20"/>
        </w:rPr>
        <w:t xml:space="preserve"> the law and the Company's Charter.</w:t>
      </w:r>
    </w:p>
    <w:p w:rsidR="00173630" w:rsidRDefault="003835C1" w:rsidP="00C817A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This General Mandate was approve</w:t>
      </w:r>
      <w:r>
        <w:rPr>
          <w:rFonts w:ascii="Arial" w:hAnsi="Arial"/>
          <w:color w:val="010000"/>
          <w:sz w:val="20"/>
        </w:rPr>
        <w:t>d by the Annual General Meeting of Shareholders 2024 of B.C.H Joint Stock Company and takes effect from the date of signing.</w:t>
      </w:r>
    </w:p>
    <w:p w:rsidR="00173630" w:rsidRDefault="00173630" w:rsidP="00C817AC">
      <w:pPr>
        <w:spacing w:after="120" w:line="360" w:lineRule="auto"/>
        <w:jc w:val="both"/>
        <w:rPr>
          <w:rFonts w:ascii="Arial" w:eastAsia="Arial" w:hAnsi="Arial" w:cs="Arial"/>
          <w:color w:val="010000"/>
          <w:sz w:val="20"/>
          <w:szCs w:val="20"/>
        </w:rPr>
      </w:pPr>
    </w:p>
    <w:sectPr w:rsidR="00173630">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notTrueType/>
    <w:pitch w:val="default"/>
  </w:font>
  <w:font w:name="Constantia">
    <w:panose1 w:val="02030602050306030303"/>
    <w:charset w:val="00"/>
    <w:family w:val="roman"/>
    <w:notTrueType/>
    <w:pitch w:val="default"/>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53D21"/>
    <w:multiLevelType w:val="multilevel"/>
    <w:tmpl w:val="9EA21854"/>
    <w:lvl w:ilvl="0">
      <w:start w:val="1"/>
      <w:numFmt w:val="lowerLetter"/>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6F73905"/>
    <w:multiLevelType w:val="multilevel"/>
    <w:tmpl w:val="4E9C45D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630"/>
    <w:rsid w:val="00173630"/>
    <w:rsid w:val="003835C1"/>
    <w:rsid w:val="00C81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2F599F3-A3B5-405D-B938-352BE85D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20"/>
      <w:szCs w:val="20"/>
      <w:u w:val="none"/>
      <w:shd w:val="clear" w:color="auto" w:fill="auto"/>
    </w:rPr>
  </w:style>
  <w:style w:type="character" w:customStyle="1" w:styleId="Tiu1">
    <w:name w:val="Tiêu đề #1_"/>
    <w:basedOn w:val="DefaultParagraphFont"/>
    <w:link w:val="Tiu10"/>
    <w:rPr>
      <w:rFonts w:ascii="Cambria" w:eastAsia="Cambria" w:hAnsi="Cambria" w:cs="Cambria"/>
      <w:b/>
      <w:bCs/>
      <w:i w:val="0"/>
      <w:iCs w:val="0"/>
      <w:smallCaps w:val="0"/>
      <w:strike w:val="0"/>
      <w:sz w:val="32"/>
      <w:szCs w:val="32"/>
      <w:u w:val="none"/>
      <w:shd w:val="clear" w:color="auto" w:fill="auto"/>
    </w:rPr>
  </w:style>
  <w:style w:type="character" w:customStyle="1" w:styleId="Vnbnnidung2">
    <w:name w:val="Văn bản nội dung (2)_"/>
    <w:basedOn w:val="DefaultParagraphFont"/>
    <w:link w:val="Vnbnnidung20"/>
    <w:rPr>
      <w:rFonts w:ascii="Arial" w:eastAsia="Arial" w:hAnsi="Arial" w:cs="Arial"/>
      <w:b/>
      <w:bCs/>
      <w:i w:val="0"/>
      <w:iCs w:val="0"/>
      <w:smallCaps w:val="0"/>
      <w:strike w:val="0"/>
      <w:color w:val="1F1F1F"/>
      <w:sz w:val="8"/>
      <w:szCs w:val="8"/>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5">
    <w:name w:val="Văn bản nội dung (5)_"/>
    <w:basedOn w:val="DefaultParagraphFont"/>
    <w:link w:val="Vnbnnidung50"/>
    <w:rPr>
      <w:rFonts w:ascii="Constantia" w:eastAsia="Constantia" w:hAnsi="Constantia" w:cs="Constantia"/>
      <w:b w:val="0"/>
      <w:bCs w:val="0"/>
      <w:i w:val="0"/>
      <w:iCs w:val="0"/>
      <w:smallCaps w:val="0"/>
      <w:strike w:val="0"/>
      <w:color w:val="A51421"/>
      <w:sz w:val="18"/>
      <w:szCs w:val="18"/>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2">
    <w:name w:val="Tiêu đề #2_"/>
    <w:basedOn w:val="DefaultParagraphFont"/>
    <w:link w:val="Tiu20"/>
    <w:rPr>
      <w:rFonts w:ascii="Arial" w:eastAsia="Arial" w:hAnsi="Arial" w:cs="Arial"/>
      <w:b w:val="0"/>
      <w:bCs w:val="0"/>
      <w:i w:val="0"/>
      <w:iCs w:val="0"/>
      <w:smallCaps w:val="0"/>
      <w:strike w:val="0"/>
      <w:sz w:val="30"/>
      <w:szCs w:val="30"/>
      <w:u w:val="none"/>
      <w:shd w:val="clear" w:color="auto" w:fill="auto"/>
    </w:rPr>
  </w:style>
  <w:style w:type="character" w:customStyle="1" w:styleId="Vnbnnidung6">
    <w:name w:val="Văn bản nội dung (6)_"/>
    <w:basedOn w:val="DefaultParagraphFont"/>
    <w:link w:val="Vnbnnidung60"/>
    <w:rPr>
      <w:rFonts w:ascii="Arial" w:eastAsia="Arial" w:hAnsi="Arial" w:cs="Arial"/>
      <w:b w:val="0"/>
      <w:bCs w:val="0"/>
      <w:i w:val="0"/>
      <w:iCs w:val="0"/>
      <w:smallCaps w:val="0"/>
      <w:strike w:val="0"/>
      <w:color w:val="561321"/>
      <w:sz w:val="16"/>
      <w:szCs w:val="16"/>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iCs/>
      <w:smallCaps w:val="0"/>
      <w:strike w:val="0"/>
      <w:sz w:val="18"/>
      <w:szCs w:val="18"/>
      <w:u w:val="none"/>
      <w:shd w:val="clear" w:color="auto" w:fill="auto"/>
    </w:rPr>
  </w:style>
  <w:style w:type="paragraph" w:customStyle="1" w:styleId="Vnbnnidung0">
    <w:name w:val="Văn bản nội dung"/>
    <w:basedOn w:val="Normal"/>
    <w:link w:val="Vnbnnidung"/>
    <w:pPr>
      <w:spacing w:line="266" w:lineRule="auto"/>
      <w:ind w:firstLine="400"/>
    </w:pPr>
    <w:rPr>
      <w:rFonts w:ascii="Times New Roman" w:eastAsia="Times New Roman" w:hAnsi="Times New Roman" w:cs="Times New Roman"/>
    </w:rPr>
  </w:style>
  <w:style w:type="paragraph" w:customStyle="1" w:styleId="Vnbnnidung30">
    <w:name w:val="Văn bản nội dung (3)"/>
    <w:basedOn w:val="Normal"/>
    <w:link w:val="Vnbnnidung3"/>
    <w:rPr>
      <w:rFonts w:ascii="Arial" w:eastAsia="Arial" w:hAnsi="Arial" w:cs="Arial"/>
      <w:sz w:val="20"/>
      <w:szCs w:val="20"/>
    </w:rPr>
  </w:style>
  <w:style w:type="paragraph" w:customStyle="1" w:styleId="Tiu10">
    <w:name w:val="Tiêu đề #1"/>
    <w:basedOn w:val="Normal"/>
    <w:link w:val="Tiu1"/>
    <w:pPr>
      <w:outlineLvl w:val="0"/>
    </w:pPr>
    <w:rPr>
      <w:rFonts w:ascii="Cambria" w:eastAsia="Cambria" w:hAnsi="Cambria" w:cs="Cambria"/>
      <w:b/>
      <w:bCs/>
      <w:sz w:val="32"/>
      <w:szCs w:val="32"/>
    </w:rPr>
  </w:style>
  <w:style w:type="paragraph" w:customStyle="1" w:styleId="Vnbnnidung20">
    <w:name w:val="Văn bản nội dung (2)"/>
    <w:basedOn w:val="Normal"/>
    <w:link w:val="Vnbnnidung2"/>
    <w:pPr>
      <w:spacing w:line="226" w:lineRule="auto"/>
    </w:pPr>
    <w:rPr>
      <w:rFonts w:ascii="Arial" w:eastAsia="Arial" w:hAnsi="Arial" w:cs="Arial"/>
      <w:b/>
      <w:bCs/>
      <w:color w:val="1F1F1F"/>
      <w:sz w:val="8"/>
      <w:szCs w:val="8"/>
    </w:rPr>
  </w:style>
  <w:style w:type="paragraph" w:customStyle="1" w:styleId="Khc0">
    <w:name w:val="Khác"/>
    <w:basedOn w:val="Normal"/>
    <w:link w:val="Khc"/>
    <w:pPr>
      <w:spacing w:line="266" w:lineRule="auto"/>
      <w:ind w:firstLine="400"/>
    </w:pPr>
    <w:rPr>
      <w:rFonts w:ascii="Times New Roman" w:eastAsia="Times New Roman" w:hAnsi="Times New Roman" w:cs="Times New Roman"/>
    </w:rPr>
  </w:style>
  <w:style w:type="paragraph" w:customStyle="1" w:styleId="Vnbnnidung50">
    <w:name w:val="Văn bản nội dung (5)"/>
    <w:basedOn w:val="Normal"/>
    <w:link w:val="Vnbnnidung5"/>
    <w:rPr>
      <w:rFonts w:ascii="Constantia" w:eastAsia="Constantia" w:hAnsi="Constantia" w:cs="Constantia"/>
      <w:color w:val="A51421"/>
      <w:sz w:val="18"/>
      <w:szCs w:val="18"/>
    </w:rPr>
  </w:style>
  <w:style w:type="paragraph" w:customStyle="1" w:styleId="Chthchbng0">
    <w:name w:val="Chú thích bảng"/>
    <w:basedOn w:val="Normal"/>
    <w:link w:val="Chthchbng"/>
    <w:pPr>
      <w:spacing w:line="252" w:lineRule="auto"/>
    </w:pPr>
    <w:rPr>
      <w:rFonts w:ascii="Times New Roman" w:eastAsia="Times New Roman" w:hAnsi="Times New Roman" w:cs="Times New Roman"/>
    </w:rPr>
  </w:style>
  <w:style w:type="paragraph" w:customStyle="1" w:styleId="Tiu20">
    <w:name w:val="Tiêu đề #2"/>
    <w:basedOn w:val="Normal"/>
    <w:link w:val="Tiu2"/>
    <w:pPr>
      <w:spacing w:line="214" w:lineRule="auto"/>
      <w:jc w:val="center"/>
      <w:outlineLvl w:val="1"/>
    </w:pPr>
    <w:rPr>
      <w:rFonts w:ascii="Arial" w:eastAsia="Arial" w:hAnsi="Arial" w:cs="Arial"/>
      <w:sz w:val="30"/>
      <w:szCs w:val="30"/>
    </w:rPr>
  </w:style>
  <w:style w:type="paragraph" w:customStyle="1" w:styleId="Vnbnnidung60">
    <w:name w:val="Văn bản nội dung (6)"/>
    <w:basedOn w:val="Normal"/>
    <w:link w:val="Vnbnnidung6"/>
    <w:rPr>
      <w:rFonts w:ascii="Arial" w:eastAsia="Arial" w:hAnsi="Arial" w:cs="Arial"/>
      <w:color w:val="561321"/>
      <w:sz w:val="16"/>
      <w:szCs w:val="16"/>
    </w:rPr>
  </w:style>
  <w:style w:type="paragraph" w:customStyle="1" w:styleId="Vnbnnidung40">
    <w:name w:val="Văn bản nội dung (4)"/>
    <w:basedOn w:val="Normal"/>
    <w:link w:val="Vnbnnidung4"/>
    <w:pPr>
      <w:ind w:left="1660"/>
    </w:pPr>
    <w:rPr>
      <w:rFonts w:ascii="Times New Roman" w:eastAsia="Times New Roman" w:hAnsi="Times New Roman" w:cs="Times New Roman"/>
      <w:i/>
      <w:iCs/>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IOV9hrhq5MmmmWkegaB2qAPEYw==">CgMxLjAyCGguZ2pkZ3hzOAByITFCeHRhWjMyYkV2WHkzd0dBay1vejZHam00aXdGYmxyaQ==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606</Words>
  <Characters>3511</Characters>
  <Application>Microsoft Office Word</Application>
  <DocSecurity>0</DocSecurity>
  <Lines>167</Lines>
  <Paragraphs>164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2</cp:revision>
  <dcterms:created xsi:type="dcterms:W3CDTF">2024-04-25T05:27:00Z</dcterms:created>
  <dcterms:modified xsi:type="dcterms:W3CDTF">2024-05-02T06:38:00Z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5492cad7e775ee03755ee4af82ead6434e633f0c328c13be3f902b9134b9221c</vt:lpwstr>
  </property>
</Properties>
</file>