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62A2" w14:textId="77777777" w:rsidR="00FF5FD4" w:rsidRPr="001163FF" w:rsidRDefault="001163FF" w:rsidP="00895813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163FF">
        <w:rPr>
          <w:rFonts w:ascii="Arial" w:hAnsi="Arial" w:cs="Arial"/>
          <w:b/>
          <w:color w:val="010000"/>
          <w:sz w:val="20"/>
        </w:rPr>
        <w:t>BXH: Annual General Mandate 2024</w:t>
      </w:r>
    </w:p>
    <w:p w14:paraId="3C06906E" w14:textId="77777777" w:rsidR="00FF5FD4" w:rsidRPr="001163FF" w:rsidRDefault="001163FF" w:rsidP="0089581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On April 16, 2024, Haiphong Packing VICEM Joint Stock Company announced General Mandate No. 32/NQ-DHDCDC.HPVC as follows:</w:t>
      </w:r>
    </w:p>
    <w:p w14:paraId="62DFB2E9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1: Approve the Report on production and business results in 2023 and the production and business plan 2024 with the following main targets:</w:t>
      </w:r>
    </w:p>
    <w:p w14:paraId="3ADF8483" w14:textId="77777777" w:rsidR="00FF5FD4" w:rsidRPr="001163FF" w:rsidRDefault="001163FF" w:rsidP="0089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Production and business plan 2023:</w:t>
      </w:r>
    </w:p>
    <w:p w14:paraId="2BEB76B3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Production output: 42.98 million bags;</w:t>
      </w:r>
    </w:p>
    <w:p w14:paraId="03357418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Consumption output: 43.45 million bags;</w:t>
      </w:r>
    </w:p>
    <w:p w14:paraId="34B35FA3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Total revenue: VND 219,159.933 million;</w:t>
      </w:r>
    </w:p>
    <w:p w14:paraId="6068BC6B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Profit after tax: VND 1,203.613 million;</w:t>
      </w:r>
    </w:p>
    <w:p w14:paraId="2D113B4D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Rate of Profit/Owners’ equity: 2.83%</w:t>
      </w:r>
    </w:p>
    <w:p w14:paraId="091CB811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Payable to State budget: VND 6,513.432 million;</w:t>
      </w:r>
    </w:p>
    <w:p w14:paraId="2DCE1568" w14:textId="77777777" w:rsidR="00FF5FD4" w:rsidRPr="001163FF" w:rsidRDefault="001163FF" w:rsidP="0089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Production and business plan 2024</w:t>
      </w:r>
    </w:p>
    <w:p w14:paraId="5617F738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Production output and consumption: 31.0 million bags;</w:t>
      </w:r>
    </w:p>
    <w:p w14:paraId="70740146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Total revenue: VND 156,780.000 million;</w:t>
      </w:r>
    </w:p>
    <w:p w14:paraId="2D61C3C8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Profit before tax: VND 752.000 million;</w:t>
      </w:r>
    </w:p>
    <w:p w14:paraId="1AA0921F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Profit after tax: VND 564.000 million;</w:t>
      </w:r>
    </w:p>
    <w:p w14:paraId="1D126729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Rate of Profit/Owners’ equity: 1.35%</w:t>
      </w:r>
    </w:p>
    <w:p w14:paraId="660C56B3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Payable to State budget: VND 5,962 million;</w:t>
      </w:r>
    </w:p>
    <w:p w14:paraId="026703D2" w14:textId="77777777" w:rsidR="00FF5FD4" w:rsidRPr="001163FF" w:rsidRDefault="001163FF" w:rsidP="0089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Dividend payment rate (in cash): From 1% of charter capital;</w:t>
      </w:r>
    </w:p>
    <w:p w14:paraId="450A4D41" w14:textId="564764BE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2: Approve the Report on activities of the Board of Directors 2023 and the plan 2024.</w:t>
      </w:r>
    </w:p>
    <w:p w14:paraId="374298C6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3. Approve the Report on the evaluation of independent members of the Board of Directors in 2023.</w:t>
      </w:r>
    </w:p>
    <w:p w14:paraId="10EBAC77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4: Approve the Report on activities of the Supervisory Board in 2023</w:t>
      </w:r>
    </w:p>
    <w:p w14:paraId="3C43FE1D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5: Approve the Audited Financial Statements 2023</w:t>
      </w:r>
    </w:p>
    <w:p w14:paraId="177870CF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6: Approve the profit distribution plan 2023, specifically as follows:</w:t>
      </w:r>
    </w:p>
    <w:p w14:paraId="028C799D" w14:textId="77777777" w:rsidR="00FF5FD4" w:rsidRPr="001163FF" w:rsidRDefault="001163FF" w:rsidP="008958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Total distributed profit in 2023: VND 1,203,013,002.</w:t>
      </w:r>
    </w:p>
    <w:p w14:paraId="6222294A" w14:textId="77777777" w:rsidR="00FF5FD4" w:rsidRPr="001163FF" w:rsidRDefault="001163FF" w:rsidP="008958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0"/>
          <w:tab w:val="left" w:pos="533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Dividend payment (2.5% X Charter capital): VND 753,010,000</w:t>
      </w:r>
    </w:p>
    <w:p w14:paraId="5396F0FF" w14:textId="77777777" w:rsidR="00FF5FD4" w:rsidRPr="001163FF" w:rsidRDefault="001163FF" w:rsidP="008958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0"/>
          <w:tab w:val="left" w:pos="533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Appropriation for bonus and welfare fund: VND 450,603,002</w:t>
      </w:r>
    </w:p>
    <w:p w14:paraId="60A853CE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7: Approve the remuneration for the Board of Directors and the Supervisory Board in 2023 and the remuneration plan 2024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3"/>
        <w:gridCol w:w="2720"/>
        <w:gridCol w:w="2047"/>
        <w:gridCol w:w="1780"/>
        <w:gridCol w:w="1757"/>
      </w:tblGrid>
      <w:tr w:rsidR="00FF5FD4" w:rsidRPr="001163FF" w14:paraId="12F01C03" w14:textId="77777777" w:rsidTr="001163FF">
        <w:trPr>
          <w:jc w:val="center"/>
        </w:trPr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3F8A1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5F675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A24C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B1581" w14:textId="1ECCADA1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4ABD0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FF5FD4" w:rsidRPr="001163FF" w14:paraId="47493501" w14:textId="77777777" w:rsidTr="001163FF">
        <w:trPr>
          <w:jc w:val="center"/>
        </w:trPr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F6394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BD8FD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052E7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VND/month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93E76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E06D6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</w:tr>
      <w:tr w:rsidR="00FF5FD4" w:rsidRPr="001163FF" w14:paraId="3B7FFD20" w14:textId="77777777" w:rsidTr="001163FF">
        <w:trPr>
          <w:jc w:val="center"/>
        </w:trPr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34B8A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5E7B7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7379E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VND/person/month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D5DAD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F6EF1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  <w:tr w:rsidR="00FF5FD4" w:rsidRPr="001163FF" w14:paraId="6CD2C659" w14:textId="77777777" w:rsidTr="001163FF">
        <w:trPr>
          <w:jc w:val="center"/>
        </w:trPr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E8BD8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3</w:t>
            </w:r>
          </w:p>
          <w:p w14:paraId="06E7A16F" w14:textId="77777777" w:rsidR="00FF5FD4" w:rsidRPr="001163FF" w:rsidRDefault="00FF5FD4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8C921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904D4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VND/month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B0D04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4,000,000 (*)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EF751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  <w:tr w:rsidR="00FF5FD4" w:rsidRPr="001163FF" w14:paraId="613D62DD" w14:textId="77777777" w:rsidTr="001163FF">
        <w:trPr>
          <w:jc w:val="center"/>
        </w:trPr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0420F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331DC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C9ADE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VND/person/month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DF73E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2A8A9" w14:textId="77777777" w:rsidR="00FF5FD4" w:rsidRPr="001163FF" w:rsidRDefault="001163FF" w:rsidP="0089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63FF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</w:tr>
    </w:tbl>
    <w:p w14:paraId="0B06A1B6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(*) Notes: From January 2023 to April 2024, the Executive Chief of the Supervisory Board will receive the salary according to the Company's salary regulations.</w:t>
      </w:r>
    </w:p>
    <w:p w14:paraId="18768C66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8: Approve the list of selected audit companies for the Financial Statements 2024.</w:t>
      </w:r>
    </w:p>
    <w:p w14:paraId="16F4F142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9: Approve the operating regulations of the Board of Directors;</w:t>
      </w:r>
    </w:p>
    <w:p w14:paraId="4DD84066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10: Approve the operating regulations of the Supervisory Board;</w:t>
      </w:r>
    </w:p>
    <w:p w14:paraId="7C2B7792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11. Approve on signing the contract for purchase and sale of packages with Dien Bien Cement Joint Stock Company in 2024.</w:t>
      </w:r>
    </w:p>
    <w:p w14:paraId="2A97192C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12: Approve on signing the contract for purchase and sale of packages with Vicem Hai Phong Cement Company Limited in 2024.</w:t>
      </w:r>
    </w:p>
    <w:p w14:paraId="01AD6DA7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13: Approve on signing the contract for purchase and sale of packages with Dien Bien Cement Joint Stock Company in 2025;</w:t>
      </w:r>
    </w:p>
    <w:p w14:paraId="755449C6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14: Approve on signing the contract for purchase and sale of packages with Vicem Hai Phong Cement Company Limited in 2025;</w:t>
      </w:r>
    </w:p>
    <w:p w14:paraId="3D9F3448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Article 15: This General Mandate is approved by the Annual General Meeting of Shareholders 2024 of Haiphong Packing VICEM Joint Stock Company and takes effect from April 16, 2024.</w:t>
      </w:r>
    </w:p>
    <w:p w14:paraId="1FA58899" w14:textId="77777777" w:rsidR="00FF5FD4" w:rsidRPr="001163FF" w:rsidRDefault="001163FF" w:rsidP="00895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3FF">
        <w:rPr>
          <w:rFonts w:ascii="Arial" w:hAnsi="Arial" w:cs="Arial"/>
          <w:color w:val="010000"/>
          <w:sz w:val="20"/>
        </w:rPr>
        <w:t>Based on the above content, the Board of Directors, the Board of Managers and all shareholders of Haiphong Packing VICEM Joint Stock Company are responsible for implementing this General Mandate.</w:t>
      </w:r>
      <w:bookmarkEnd w:id="0"/>
    </w:p>
    <w:sectPr w:rsidR="00FF5FD4" w:rsidRPr="001163FF" w:rsidSect="001163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676"/>
    <w:multiLevelType w:val="multilevel"/>
    <w:tmpl w:val="6DB0918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13748A"/>
    <w:multiLevelType w:val="multilevel"/>
    <w:tmpl w:val="27765C26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9263F8"/>
    <w:multiLevelType w:val="multilevel"/>
    <w:tmpl w:val="EE942E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4"/>
    <w:rsid w:val="001163FF"/>
    <w:rsid w:val="00895813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7E637"/>
  <w15:docId w15:val="{47101780-4C0E-42A9-837B-32493E5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888D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86888D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6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6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888D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888D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40" w:line="298" w:lineRule="auto"/>
    </w:pPr>
    <w:rPr>
      <w:rFonts w:ascii="Times New Roman" w:eastAsia="Times New Roman" w:hAnsi="Times New Roman" w:cs="Times New Roman"/>
      <w:color w:val="86888D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  <w:ind w:left="360" w:hanging="180"/>
    </w:pPr>
    <w:rPr>
      <w:rFonts w:ascii="Arial" w:eastAsia="Arial" w:hAnsi="Arial" w:cs="Arial"/>
      <w:color w:val="86888D"/>
      <w:sz w:val="20"/>
      <w:szCs w:val="20"/>
    </w:rPr>
  </w:style>
  <w:style w:type="paragraph" w:customStyle="1" w:styleId="Tiu10">
    <w:name w:val="Tiêu đề #1"/>
    <w:basedOn w:val="Normal"/>
    <w:link w:val="Tiu1"/>
    <w:pPr>
      <w:spacing w:after="80"/>
      <w:jc w:val="center"/>
      <w:outlineLvl w:val="0"/>
    </w:pPr>
    <w:rPr>
      <w:rFonts w:ascii="Times New Roman" w:eastAsia="Times New Roman" w:hAnsi="Times New Roman" w:cs="Times New Roman"/>
      <w:color w:val="2E3036"/>
      <w:sz w:val="32"/>
      <w:szCs w:val="32"/>
    </w:rPr>
  </w:style>
  <w:style w:type="paragraph" w:customStyle="1" w:styleId="Tiu20">
    <w:name w:val="Tiêu đề #2"/>
    <w:basedOn w:val="Normal"/>
    <w:link w:val="Tiu2"/>
    <w:pPr>
      <w:spacing w:after="22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E3036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314" w:lineRule="auto"/>
      <w:ind w:firstLine="280"/>
    </w:pPr>
    <w:rPr>
      <w:rFonts w:ascii="Times New Roman" w:eastAsia="Times New Roman" w:hAnsi="Times New Roman" w:cs="Times New Roman"/>
      <w:i/>
      <w:iCs/>
      <w:color w:val="86888D"/>
      <w:sz w:val="22"/>
      <w:szCs w:val="22"/>
    </w:rPr>
  </w:style>
  <w:style w:type="paragraph" w:customStyle="1" w:styleId="Khc0">
    <w:name w:val="Khác"/>
    <w:basedOn w:val="Normal"/>
    <w:link w:val="Khc"/>
    <w:pPr>
      <w:spacing w:after="140" w:line="298" w:lineRule="auto"/>
    </w:pPr>
    <w:rPr>
      <w:rFonts w:ascii="Times New Roman" w:eastAsia="Times New Roman" w:hAnsi="Times New Roman" w:cs="Times New Roman"/>
      <w:color w:val="86888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Y5q+7runJjxkOOWEFw1iDsBn7g==">CgMxLjA4AHIhMU4yNzg1enFVaWtXd2xaNzdrN3FGWW1leHN3RmRLSE5p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2024-04-25T03:52:00Z</dcterms:created>
  <dcterms:modified xsi:type="dcterms:W3CDTF">2024-05-02T10:04:00Z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fc40281d7674bc7774238b6c3d11025e73e52d643b5a3cf203e25c446197ce8a</vt:lpwstr>
  </property>
</Properties>
</file>