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A6AD9" w14:textId="77777777" w:rsidR="000D55B7" w:rsidRPr="00563400" w:rsidRDefault="00563400" w:rsidP="00903369">
      <w:pPr>
        <w:pBdr>
          <w:top w:val="nil"/>
          <w:left w:val="nil"/>
          <w:bottom w:val="nil"/>
          <w:right w:val="nil"/>
          <w:between w:val="nil"/>
        </w:pBdr>
        <w:tabs>
          <w:tab w:val="left" w:pos="360"/>
          <w:tab w:val="left" w:pos="3956"/>
        </w:tabs>
        <w:spacing w:after="120" w:line="360" w:lineRule="auto"/>
        <w:jc w:val="both"/>
        <w:rPr>
          <w:rFonts w:ascii="Arial" w:eastAsia="Arial" w:hAnsi="Arial" w:cs="Arial"/>
          <w:b/>
          <w:color w:val="010000"/>
          <w:sz w:val="20"/>
          <w:szCs w:val="20"/>
        </w:rPr>
      </w:pPr>
      <w:r w:rsidRPr="00563400">
        <w:rPr>
          <w:rFonts w:ascii="Arial" w:hAnsi="Arial" w:cs="Arial"/>
          <w:b/>
          <w:bCs/>
          <w:color w:val="010000"/>
          <w:sz w:val="20"/>
        </w:rPr>
        <w:t>GLH121019:</w:t>
      </w:r>
      <w:r w:rsidRPr="00563400">
        <w:rPr>
          <w:rFonts w:ascii="Arial" w:hAnsi="Arial" w:cs="Arial"/>
          <w:b/>
          <w:color w:val="010000"/>
          <w:sz w:val="20"/>
        </w:rPr>
        <w:t xml:space="preserve"> Notice on the record date </w:t>
      </w:r>
    </w:p>
    <w:p w14:paraId="5131E05F" w14:textId="77777777" w:rsidR="000D55B7" w:rsidRPr="00563400" w:rsidRDefault="00563400" w:rsidP="00903369">
      <w:pPr>
        <w:pBdr>
          <w:top w:val="nil"/>
          <w:left w:val="nil"/>
          <w:bottom w:val="nil"/>
          <w:right w:val="nil"/>
          <w:between w:val="nil"/>
        </w:pBdr>
        <w:tabs>
          <w:tab w:val="left" w:pos="360"/>
          <w:tab w:val="left" w:pos="3956"/>
        </w:tabs>
        <w:spacing w:after="120" w:line="360" w:lineRule="auto"/>
        <w:jc w:val="both"/>
        <w:rPr>
          <w:rFonts w:ascii="Arial" w:eastAsia="Arial" w:hAnsi="Arial" w:cs="Arial"/>
          <w:color w:val="010000"/>
          <w:sz w:val="20"/>
          <w:szCs w:val="20"/>
        </w:rPr>
      </w:pPr>
      <w:r w:rsidRPr="00563400">
        <w:rPr>
          <w:rFonts w:ascii="Arial" w:hAnsi="Arial" w:cs="Arial"/>
          <w:color w:val="010000"/>
          <w:sz w:val="20"/>
        </w:rPr>
        <w:t>On April 22, 2024, Vietnam Securities Depository and Clearing Corporation announced Notice No. 1793/TB-VSDC on the record date and confirmation of the list of securities owners as follows:</w:t>
      </w:r>
    </w:p>
    <w:tbl>
      <w:tblPr>
        <w:tblStyle w:val="a"/>
        <w:tblW w:w="5000" w:type="pct"/>
        <w:tblBorders>
          <w:top w:val="nil"/>
          <w:left w:val="nil"/>
          <w:bottom w:val="nil"/>
          <w:right w:val="nil"/>
          <w:insideH w:val="nil"/>
          <w:insideV w:val="nil"/>
        </w:tblBorders>
        <w:tblLook w:val="0400" w:firstRow="0" w:lastRow="0" w:firstColumn="0" w:lastColumn="0" w:noHBand="0" w:noVBand="1"/>
      </w:tblPr>
      <w:tblGrid>
        <w:gridCol w:w="2834"/>
        <w:gridCol w:w="6193"/>
      </w:tblGrid>
      <w:tr w:rsidR="000D55B7" w:rsidRPr="00563400" w14:paraId="297E8D12" w14:textId="77777777" w:rsidTr="00563400">
        <w:tc>
          <w:tcPr>
            <w:tcW w:w="1570" w:type="pct"/>
            <w:shd w:val="clear" w:color="auto" w:fill="auto"/>
            <w:vAlign w:val="center"/>
          </w:tcPr>
          <w:p w14:paraId="017978AD" w14:textId="77777777" w:rsidR="000D55B7" w:rsidRPr="00563400" w:rsidRDefault="00563400" w:rsidP="00903369">
            <w:pPr>
              <w:numPr>
                <w:ilvl w:val="0"/>
                <w:numId w:val="1"/>
              </w:numPr>
              <w:pBdr>
                <w:top w:val="nil"/>
                <w:left w:val="nil"/>
                <w:bottom w:val="nil"/>
                <w:right w:val="nil"/>
                <w:between w:val="nil"/>
              </w:pBdr>
              <w:tabs>
                <w:tab w:val="left" w:pos="162"/>
                <w:tab w:val="left" w:pos="250"/>
                <w:tab w:val="left" w:pos="360"/>
              </w:tabs>
              <w:spacing w:after="120" w:line="360" w:lineRule="auto"/>
              <w:ind w:left="0" w:firstLine="0"/>
              <w:jc w:val="both"/>
              <w:rPr>
                <w:rFonts w:ascii="Arial" w:eastAsia="Arial" w:hAnsi="Arial" w:cs="Arial"/>
                <w:color w:val="010000"/>
                <w:sz w:val="20"/>
                <w:szCs w:val="20"/>
              </w:rPr>
            </w:pPr>
            <w:r w:rsidRPr="00563400">
              <w:rPr>
                <w:rFonts w:ascii="Arial" w:hAnsi="Arial" w:cs="Arial"/>
                <w:color w:val="010000"/>
                <w:sz w:val="20"/>
              </w:rPr>
              <w:t>Name of Issuer:</w:t>
            </w:r>
          </w:p>
          <w:p w14:paraId="2C17485C" w14:textId="77777777" w:rsidR="000D55B7" w:rsidRPr="00563400" w:rsidRDefault="00563400" w:rsidP="00903369">
            <w:pPr>
              <w:numPr>
                <w:ilvl w:val="0"/>
                <w:numId w:val="1"/>
              </w:numPr>
              <w:pBdr>
                <w:top w:val="nil"/>
                <w:left w:val="nil"/>
                <w:bottom w:val="nil"/>
                <w:right w:val="nil"/>
                <w:between w:val="nil"/>
              </w:pBdr>
              <w:tabs>
                <w:tab w:val="left" w:pos="162"/>
                <w:tab w:val="left" w:pos="250"/>
                <w:tab w:val="left" w:pos="360"/>
              </w:tabs>
              <w:spacing w:after="120" w:line="360" w:lineRule="auto"/>
              <w:ind w:left="0" w:firstLine="0"/>
              <w:jc w:val="both"/>
              <w:rPr>
                <w:rFonts w:ascii="Arial" w:eastAsia="Arial" w:hAnsi="Arial" w:cs="Arial"/>
                <w:color w:val="010000"/>
                <w:sz w:val="20"/>
                <w:szCs w:val="20"/>
              </w:rPr>
            </w:pPr>
            <w:r w:rsidRPr="00563400">
              <w:rPr>
                <w:rFonts w:ascii="Arial" w:hAnsi="Arial" w:cs="Arial"/>
                <w:color w:val="010000"/>
                <w:sz w:val="20"/>
              </w:rPr>
              <w:t>Securities name:</w:t>
            </w:r>
          </w:p>
          <w:p w14:paraId="143FBE27" w14:textId="77777777" w:rsidR="000D55B7" w:rsidRPr="00563400" w:rsidRDefault="00563400" w:rsidP="00903369">
            <w:pPr>
              <w:numPr>
                <w:ilvl w:val="0"/>
                <w:numId w:val="1"/>
              </w:numPr>
              <w:pBdr>
                <w:top w:val="nil"/>
                <w:left w:val="nil"/>
                <w:bottom w:val="nil"/>
                <w:right w:val="nil"/>
                <w:between w:val="nil"/>
              </w:pBdr>
              <w:tabs>
                <w:tab w:val="left" w:pos="250"/>
                <w:tab w:val="left" w:pos="360"/>
              </w:tabs>
              <w:spacing w:after="120" w:line="360" w:lineRule="auto"/>
              <w:ind w:left="0" w:firstLine="0"/>
              <w:jc w:val="both"/>
              <w:rPr>
                <w:rFonts w:ascii="Arial" w:eastAsia="Arial" w:hAnsi="Arial" w:cs="Arial"/>
                <w:color w:val="010000"/>
                <w:sz w:val="20"/>
                <w:szCs w:val="20"/>
              </w:rPr>
            </w:pPr>
            <w:r w:rsidRPr="00563400">
              <w:rPr>
                <w:rFonts w:ascii="Arial" w:hAnsi="Arial" w:cs="Arial"/>
                <w:color w:val="010000"/>
                <w:sz w:val="20"/>
              </w:rPr>
              <w:t>Securities code:</w:t>
            </w:r>
          </w:p>
          <w:p w14:paraId="6C6E9D25" w14:textId="77777777" w:rsidR="000D55B7" w:rsidRPr="00563400" w:rsidRDefault="00563400" w:rsidP="00903369">
            <w:pPr>
              <w:numPr>
                <w:ilvl w:val="0"/>
                <w:numId w:val="1"/>
              </w:numPr>
              <w:pBdr>
                <w:top w:val="nil"/>
                <w:left w:val="nil"/>
                <w:bottom w:val="nil"/>
                <w:right w:val="nil"/>
                <w:between w:val="nil"/>
              </w:pBdr>
              <w:tabs>
                <w:tab w:val="left" w:pos="250"/>
                <w:tab w:val="left" w:pos="360"/>
              </w:tabs>
              <w:spacing w:after="120" w:line="360" w:lineRule="auto"/>
              <w:ind w:left="0" w:firstLine="0"/>
              <w:jc w:val="both"/>
              <w:rPr>
                <w:rFonts w:ascii="Arial" w:eastAsia="Arial" w:hAnsi="Arial" w:cs="Arial"/>
                <w:color w:val="010000"/>
                <w:sz w:val="20"/>
                <w:szCs w:val="20"/>
              </w:rPr>
            </w:pPr>
            <w:r w:rsidRPr="00563400">
              <w:rPr>
                <w:rFonts w:ascii="Arial" w:hAnsi="Arial" w:cs="Arial"/>
                <w:color w:val="010000"/>
                <w:sz w:val="20"/>
              </w:rPr>
              <w:t>ISIN code:</w:t>
            </w:r>
          </w:p>
          <w:p w14:paraId="6A8F74C2" w14:textId="77777777" w:rsidR="000D55B7" w:rsidRPr="00563400" w:rsidRDefault="00563400" w:rsidP="00903369">
            <w:pPr>
              <w:numPr>
                <w:ilvl w:val="0"/>
                <w:numId w:val="1"/>
              </w:numPr>
              <w:pBdr>
                <w:top w:val="nil"/>
                <w:left w:val="nil"/>
                <w:bottom w:val="nil"/>
                <w:right w:val="nil"/>
                <w:between w:val="nil"/>
              </w:pBdr>
              <w:tabs>
                <w:tab w:val="left" w:pos="176"/>
                <w:tab w:val="left" w:pos="250"/>
                <w:tab w:val="left" w:pos="360"/>
              </w:tabs>
              <w:spacing w:after="120" w:line="360" w:lineRule="auto"/>
              <w:ind w:left="0" w:firstLine="0"/>
              <w:jc w:val="both"/>
              <w:rPr>
                <w:rFonts w:ascii="Arial" w:eastAsia="Arial" w:hAnsi="Arial" w:cs="Arial"/>
                <w:color w:val="010000"/>
                <w:sz w:val="20"/>
                <w:szCs w:val="20"/>
              </w:rPr>
            </w:pPr>
            <w:r w:rsidRPr="00563400">
              <w:rPr>
                <w:rFonts w:ascii="Arial" w:hAnsi="Arial" w:cs="Arial"/>
                <w:color w:val="010000"/>
                <w:sz w:val="20"/>
              </w:rPr>
              <w:t>Exchange:</w:t>
            </w:r>
          </w:p>
          <w:p w14:paraId="1C7F36AE" w14:textId="77777777" w:rsidR="000D55B7" w:rsidRPr="00563400" w:rsidRDefault="00563400" w:rsidP="00903369">
            <w:pPr>
              <w:numPr>
                <w:ilvl w:val="0"/>
                <w:numId w:val="1"/>
              </w:numPr>
              <w:pBdr>
                <w:top w:val="nil"/>
                <w:left w:val="nil"/>
                <w:bottom w:val="nil"/>
                <w:right w:val="nil"/>
                <w:between w:val="nil"/>
              </w:pBdr>
              <w:tabs>
                <w:tab w:val="left" w:pos="176"/>
                <w:tab w:val="left" w:pos="250"/>
                <w:tab w:val="left" w:pos="360"/>
              </w:tabs>
              <w:spacing w:after="120" w:line="360" w:lineRule="auto"/>
              <w:ind w:left="0" w:firstLine="0"/>
              <w:jc w:val="both"/>
              <w:rPr>
                <w:rFonts w:ascii="Arial" w:eastAsia="Arial" w:hAnsi="Arial" w:cs="Arial"/>
                <w:color w:val="010000"/>
                <w:sz w:val="20"/>
                <w:szCs w:val="20"/>
              </w:rPr>
            </w:pPr>
            <w:r w:rsidRPr="00563400">
              <w:rPr>
                <w:rFonts w:ascii="Arial" w:hAnsi="Arial" w:cs="Arial"/>
                <w:color w:val="010000"/>
                <w:sz w:val="20"/>
              </w:rPr>
              <w:t>Securities type:</w:t>
            </w:r>
          </w:p>
          <w:p w14:paraId="576182E2" w14:textId="77777777" w:rsidR="000D55B7" w:rsidRPr="00563400" w:rsidRDefault="00563400" w:rsidP="00903369">
            <w:pPr>
              <w:numPr>
                <w:ilvl w:val="0"/>
                <w:numId w:val="1"/>
              </w:numPr>
              <w:pBdr>
                <w:top w:val="nil"/>
                <w:left w:val="nil"/>
                <w:bottom w:val="nil"/>
                <w:right w:val="nil"/>
                <w:between w:val="nil"/>
              </w:pBdr>
              <w:tabs>
                <w:tab w:val="left" w:pos="176"/>
                <w:tab w:val="left" w:pos="250"/>
                <w:tab w:val="left" w:pos="360"/>
              </w:tabs>
              <w:spacing w:after="120" w:line="360" w:lineRule="auto"/>
              <w:ind w:left="0" w:firstLine="0"/>
              <w:jc w:val="both"/>
              <w:rPr>
                <w:rFonts w:ascii="Arial" w:eastAsia="Arial" w:hAnsi="Arial" w:cs="Arial"/>
                <w:color w:val="010000"/>
                <w:sz w:val="20"/>
                <w:szCs w:val="20"/>
              </w:rPr>
            </w:pPr>
            <w:r w:rsidRPr="00563400">
              <w:rPr>
                <w:rFonts w:ascii="Arial" w:hAnsi="Arial" w:cs="Arial"/>
                <w:color w:val="010000"/>
                <w:sz w:val="20"/>
              </w:rPr>
              <w:t>Transaction par value:</w:t>
            </w:r>
          </w:p>
          <w:p w14:paraId="52E6F17D" w14:textId="77777777" w:rsidR="000D55B7" w:rsidRPr="00563400" w:rsidRDefault="00563400" w:rsidP="00903369">
            <w:pPr>
              <w:numPr>
                <w:ilvl w:val="0"/>
                <w:numId w:val="1"/>
              </w:numPr>
              <w:pBdr>
                <w:top w:val="nil"/>
                <w:left w:val="nil"/>
                <w:bottom w:val="nil"/>
                <w:right w:val="nil"/>
                <w:between w:val="nil"/>
              </w:pBdr>
              <w:tabs>
                <w:tab w:val="left" w:pos="176"/>
                <w:tab w:val="left" w:pos="250"/>
                <w:tab w:val="left" w:pos="360"/>
              </w:tabs>
              <w:spacing w:after="120" w:line="360" w:lineRule="auto"/>
              <w:ind w:left="0" w:firstLine="0"/>
              <w:jc w:val="both"/>
              <w:rPr>
                <w:rFonts w:ascii="Arial" w:eastAsia="Arial" w:hAnsi="Arial" w:cs="Arial"/>
                <w:color w:val="010000"/>
                <w:sz w:val="20"/>
                <w:szCs w:val="20"/>
              </w:rPr>
            </w:pPr>
            <w:r w:rsidRPr="00563400">
              <w:rPr>
                <w:rFonts w:ascii="Arial" w:hAnsi="Arial" w:cs="Arial"/>
                <w:color w:val="010000"/>
                <w:sz w:val="20"/>
              </w:rPr>
              <w:t>Term:</w:t>
            </w:r>
          </w:p>
          <w:p w14:paraId="00CB3D01" w14:textId="77777777" w:rsidR="000D55B7" w:rsidRPr="00563400" w:rsidRDefault="00563400" w:rsidP="00903369">
            <w:pPr>
              <w:numPr>
                <w:ilvl w:val="0"/>
                <w:numId w:val="1"/>
              </w:numPr>
              <w:pBdr>
                <w:top w:val="nil"/>
                <w:left w:val="nil"/>
                <w:bottom w:val="nil"/>
                <w:right w:val="nil"/>
                <w:between w:val="nil"/>
              </w:pBdr>
              <w:tabs>
                <w:tab w:val="left" w:pos="250"/>
                <w:tab w:val="left" w:pos="360"/>
              </w:tabs>
              <w:spacing w:after="120" w:line="360" w:lineRule="auto"/>
              <w:ind w:left="0" w:firstLine="0"/>
              <w:jc w:val="both"/>
              <w:rPr>
                <w:rFonts w:ascii="Arial" w:eastAsia="Arial" w:hAnsi="Arial" w:cs="Arial"/>
                <w:color w:val="010000"/>
                <w:sz w:val="20"/>
                <w:szCs w:val="20"/>
              </w:rPr>
            </w:pPr>
            <w:r w:rsidRPr="00563400">
              <w:rPr>
                <w:rFonts w:ascii="Arial" w:hAnsi="Arial" w:cs="Arial"/>
                <w:color w:val="010000"/>
                <w:sz w:val="20"/>
              </w:rPr>
              <w:t>Issue date:</w:t>
            </w:r>
          </w:p>
          <w:p w14:paraId="0FEFF4C1" w14:textId="77777777" w:rsidR="000D55B7" w:rsidRPr="00563400" w:rsidRDefault="00563400" w:rsidP="00903369">
            <w:pPr>
              <w:numPr>
                <w:ilvl w:val="0"/>
                <w:numId w:val="1"/>
              </w:numPr>
              <w:pBdr>
                <w:top w:val="nil"/>
                <w:left w:val="nil"/>
                <w:bottom w:val="nil"/>
                <w:right w:val="nil"/>
                <w:between w:val="nil"/>
              </w:pBdr>
              <w:tabs>
                <w:tab w:val="left" w:pos="250"/>
                <w:tab w:val="left" w:pos="360"/>
              </w:tabs>
              <w:spacing w:after="120" w:line="360" w:lineRule="auto"/>
              <w:ind w:left="0" w:firstLine="0"/>
              <w:jc w:val="both"/>
              <w:rPr>
                <w:rFonts w:ascii="Arial" w:eastAsia="Arial" w:hAnsi="Arial" w:cs="Arial"/>
                <w:color w:val="010000"/>
                <w:sz w:val="20"/>
                <w:szCs w:val="20"/>
              </w:rPr>
            </w:pPr>
            <w:r w:rsidRPr="00563400">
              <w:rPr>
                <w:rFonts w:ascii="Arial" w:hAnsi="Arial" w:cs="Arial"/>
                <w:color w:val="010000"/>
                <w:sz w:val="20"/>
              </w:rPr>
              <w:t>Maturity date:</w:t>
            </w:r>
          </w:p>
          <w:p w14:paraId="038D5C19" w14:textId="77777777" w:rsidR="000D55B7" w:rsidRPr="00563400" w:rsidRDefault="00563400" w:rsidP="00903369">
            <w:pPr>
              <w:numPr>
                <w:ilvl w:val="0"/>
                <w:numId w:val="1"/>
              </w:numPr>
              <w:pBdr>
                <w:top w:val="nil"/>
                <w:left w:val="nil"/>
                <w:bottom w:val="nil"/>
                <w:right w:val="nil"/>
                <w:between w:val="nil"/>
              </w:pBdr>
              <w:tabs>
                <w:tab w:val="left" w:pos="250"/>
                <w:tab w:val="left" w:pos="360"/>
              </w:tabs>
              <w:spacing w:after="120" w:line="360" w:lineRule="auto"/>
              <w:ind w:left="0" w:firstLine="0"/>
              <w:jc w:val="both"/>
              <w:rPr>
                <w:rFonts w:ascii="Arial" w:eastAsia="Arial" w:hAnsi="Arial" w:cs="Arial"/>
                <w:color w:val="010000"/>
                <w:sz w:val="20"/>
                <w:szCs w:val="20"/>
              </w:rPr>
            </w:pPr>
            <w:r w:rsidRPr="00563400">
              <w:rPr>
                <w:rFonts w:ascii="Arial" w:hAnsi="Arial" w:cs="Arial"/>
                <w:color w:val="010000"/>
                <w:sz w:val="20"/>
              </w:rPr>
              <w:t>Interest of term 6</w:t>
            </w:r>
          </w:p>
          <w:p w14:paraId="6112CABD" w14:textId="77777777" w:rsidR="000D55B7" w:rsidRPr="00563400" w:rsidRDefault="00563400" w:rsidP="00903369">
            <w:pPr>
              <w:numPr>
                <w:ilvl w:val="0"/>
                <w:numId w:val="1"/>
              </w:numPr>
              <w:pBdr>
                <w:top w:val="nil"/>
                <w:left w:val="nil"/>
                <w:bottom w:val="nil"/>
                <w:right w:val="nil"/>
                <w:between w:val="nil"/>
              </w:pBdr>
              <w:tabs>
                <w:tab w:val="left" w:pos="250"/>
                <w:tab w:val="left" w:pos="360"/>
              </w:tabs>
              <w:spacing w:after="120" w:line="360" w:lineRule="auto"/>
              <w:ind w:left="0" w:firstLine="0"/>
              <w:jc w:val="both"/>
              <w:rPr>
                <w:rFonts w:ascii="Arial" w:eastAsia="Arial" w:hAnsi="Arial" w:cs="Arial"/>
                <w:color w:val="010000"/>
                <w:sz w:val="20"/>
                <w:szCs w:val="20"/>
              </w:rPr>
            </w:pPr>
            <w:r w:rsidRPr="00563400">
              <w:rPr>
                <w:rFonts w:ascii="Arial" w:hAnsi="Arial" w:cs="Arial"/>
                <w:color w:val="010000"/>
                <w:sz w:val="20"/>
              </w:rPr>
              <w:t>Record date:</w:t>
            </w:r>
          </w:p>
        </w:tc>
        <w:tc>
          <w:tcPr>
            <w:tcW w:w="3430" w:type="pct"/>
            <w:shd w:val="clear" w:color="auto" w:fill="auto"/>
            <w:vAlign w:val="center"/>
          </w:tcPr>
          <w:p w14:paraId="28F897D4" w14:textId="77777777" w:rsidR="000D55B7" w:rsidRPr="00563400" w:rsidRDefault="00563400" w:rsidP="0090336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63400">
              <w:rPr>
                <w:rFonts w:ascii="Arial" w:hAnsi="Arial" w:cs="Arial"/>
                <w:color w:val="010000"/>
                <w:sz w:val="20"/>
              </w:rPr>
              <w:t>GLEXH</w:t>
            </w:r>
            <w:bookmarkStart w:id="0" w:name="_GoBack"/>
            <w:bookmarkEnd w:id="0"/>
            <w:r w:rsidRPr="00563400">
              <w:rPr>
                <w:rFonts w:ascii="Arial" w:hAnsi="Arial" w:cs="Arial"/>
                <w:color w:val="010000"/>
                <w:sz w:val="20"/>
              </w:rPr>
              <w:t xml:space="preserve">OMES JOINT STOCK COMPANY </w:t>
            </w:r>
          </w:p>
          <w:p w14:paraId="63E57608" w14:textId="7A1415D8" w:rsidR="000D55B7" w:rsidRPr="00563400" w:rsidRDefault="00563400" w:rsidP="00903369">
            <w:pPr>
              <w:pBdr>
                <w:top w:val="nil"/>
                <w:left w:val="nil"/>
                <w:bottom w:val="nil"/>
                <w:right w:val="nil"/>
                <w:between w:val="nil"/>
              </w:pBdr>
              <w:tabs>
                <w:tab w:val="left" w:pos="360"/>
                <w:tab w:val="left" w:pos="6275"/>
              </w:tabs>
              <w:spacing w:after="120" w:line="360" w:lineRule="auto"/>
              <w:jc w:val="both"/>
              <w:rPr>
                <w:rFonts w:ascii="Arial" w:eastAsia="Arial" w:hAnsi="Arial" w:cs="Arial"/>
                <w:color w:val="010000"/>
                <w:sz w:val="20"/>
                <w:szCs w:val="20"/>
              </w:rPr>
            </w:pPr>
            <w:r w:rsidRPr="00563400">
              <w:rPr>
                <w:rFonts w:ascii="Arial" w:hAnsi="Arial" w:cs="Arial"/>
                <w:color w:val="010000"/>
                <w:sz w:val="20"/>
              </w:rPr>
              <w:t xml:space="preserve">Bonds of GLEXHOMES JOINT STOCK COMPANY </w:t>
            </w:r>
          </w:p>
          <w:p w14:paraId="74EDFED3" w14:textId="77777777" w:rsidR="000D55B7" w:rsidRPr="00563400" w:rsidRDefault="00563400" w:rsidP="0090336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63400">
              <w:rPr>
                <w:rFonts w:ascii="Arial" w:hAnsi="Arial" w:cs="Arial"/>
                <w:color w:val="010000"/>
                <w:sz w:val="20"/>
              </w:rPr>
              <w:t>GLH121019</w:t>
            </w:r>
          </w:p>
          <w:p w14:paraId="6955D066" w14:textId="77777777" w:rsidR="000D55B7" w:rsidRPr="00563400" w:rsidRDefault="00563400" w:rsidP="0090336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63400">
              <w:rPr>
                <w:rFonts w:ascii="Arial" w:hAnsi="Arial" w:cs="Arial"/>
                <w:color w:val="010000"/>
                <w:sz w:val="20"/>
              </w:rPr>
              <w:t>VNGLH1210197</w:t>
            </w:r>
          </w:p>
          <w:p w14:paraId="1C28BAB0" w14:textId="77777777" w:rsidR="000D55B7" w:rsidRPr="00563400" w:rsidRDefault="00563400" w:rsidP="0090336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63400">
              <w:rPr>
                <w:rFonts w:ascii="Arial" w:hAnsi="Arial" w:cs="Arial"/>
                <w:color w:val="010000"/>
                <w:sz w:val="20"/>
              </w:rPr>
              <w:t>HNX</w:t>
            </w:r>
          </w:p>
          <w:p w14:paraId="618EBF69" w14:textId="77777777" w:rsidR="000D55B7" w:rsidRPr="00563400" w:rsidRDefault="00563400" w:rsidP="0090336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63400">
              <w:rPr>
                <w:rFonts w:ascii="Arial" w:hAnsi="Arial" w:cs="Arial"/>
                <w:color w:val="010000"/>
                <w:sz w:val="20"/>
              </w:rPr>
              <w:t>Corporate bond</w:t>
            </w:r>
          </w:p>
          <w:p w14:paraId="3C52184E" w14:textId="77777777" w:rsidR="000D55B7" w:rsidRPr="00563400" w:rsidRDefault="00563400" w:rsidP="0090336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63400">
              <w:rPr>
                <w:rFonts w:ascii="Arial" w:hAnsi="Arial" w:cs="Arial"/>
                <w:color w:val="010000"/>
                <w:sz w:val="20"/>
              </w:rPr>
              <w:t>VND 100,000</w:t>
            </w:r>
          </w:p>
          <w:p w14:paraId="347B3729" w14:textId="77777777" w:rsidR="000D55B7" w:rsidRPr="00563400" w:rsidRDefault="00563400" w:rsidP="0090336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63400">
              <w:rPr>
                <w:rFonts w:ascii="Arial" w:hAnsi="Arial" w:cs="Arial"/>
                <w:color w:val="010000"/>
                <w:sz w:val="20"/>
              </w:rPr>
              <w:t xml:space="preserve">36 months </w:t>
            </w:r>
          </w:p>
          <w:p w14:paraId="75FFFD07" w14:textId="77777777" w:rsidR="000D55B7" w:rsidRPr="00563400" w:rsidRDefault="00563400" w:rsidP="0090336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63400">
              <w:rPr>
                <w:rFonts w:ascii="Arial" w:hAnsi="Arial" w:cs="Arial"/>
                <w:color w:val="010000"/>
                <w:sz w:val="20"/>
              </w:rPr>
              <w:t xml:space="preserve">May 17, 2021 </w:t>
            </w:r>
          </w:p>
          <w:p w14:paraId="789AED46" w14:textId="77777777" w:rsidR="000D55B7" w:rsidRPr="00563400" w:rsidRDefault="00563400" w:rsidP="0090336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63400">
              <w:rPr>
                <w:rFonts w:ascii="Arial" w:hAnsi="Arial" w:cs="Arial"/>
                <w:color w:val="010000"/>
                <w:sz w:val="20"/>
              </w:rPr>
              <w:t>May 17, 2024</w:t>
            </w:r>
          </w:p>
          <w:p w14:paraId="6A8DA0D2" w14:textId="77777777" w:rsidR="000D55B7" w:rsidRPr="00563400" w:rsidRDefault="00563400" w:rsidP="00903369">
            <w:pPr>
              <w:pBdr>
                <w:top w:val="nil"/>
                <w:left w:val="nil"/>
                <w:bottom w:val="nil"/>
                <w:right w:val="nil"/>
                <w:between w:val="nil"/>
              </w:pBdr>
              <w:tabs>
                <w:tab w:val="left" w:pos="360"/>
                <w:tab w:val="left" w:pos="3956"/>
              </w:tabs>
              <w:spacing w:after="120" w:line="360" w:lineRule="auto"/>
              <w:jc w:val="both"/>
              <w:rPr>
                <w:rFonts w:ascii="Arial" w:eastAsia="Arial" w:hAnsi="Arial" w:cs="Arial"/>
                <w:color w:val="010000"/>
                <w:sz w:val="20"/>
                <w:szCs w:val="20"/>
              </w:rPr>
            </w:pPr>
            <w:r w:rsidRPr="00563400">
              <w:rPr>
                <w:rFonts w:ascii="Arial" w:hAnsi="Arial" w:cs="Arial"/>
                <w:color w:val="010000"/>
                <w:sz w:val="20"/>
              </w:rPr>
              <w:t>9.5%/year</w:t>
            </w:r>
          </w:p>
          <w:p w14:paraId="565F8502" w14:textId="77777777" w:rsidR="000D55B7" w:rsidRPr="00563400" w:rsidRDefault="00563400" w:rsidP="00903369">
            <w:pPr>
              <w:pBdr>
                <w:top w:val="nil"/>
                <w:left w:val="nil"/>
                <w:bottom w:val="nil"/>
                <w:right w:val="nil"/>
                <w:between w:val="nil"/>
              </w:pBdr>
              <w:tabs>
                <w:tab w:val="left" w:pos="360"/>
                <w:tab w:val="left" w:pos="3956"/>
              </w:tabs>
              <w:spacing w:after="120" w:line="360" w:lineRule="auto"/>
              <w:jc w:val="both"/>
              <w:rPr>
                <w:rFonts w:ascii="Arial" w:eastAsia="Arial" w:hAnsi="Arial" w:cs="Arial"/>
                <w:color w:val="010000"/>
                <w:sz w:val="20"/>
                <w:szCs w:val="20"/>
              </w:rPr>
            </w:pPr>
            <w:r w:rsidRPr="00563400">
              <w:rPr>
                <w:rFonts w:ascii="Arial" w:hAnsi="Arial" w:cs="Arial"/>
                <w:color w:val="010000"/>
                <w:sz w:val="20"/>
              </w:rPr>
              <w:t>May 07, 2024</w:t>
            </w:r>
          </w:p>
        </w:tc>
      </w:tr>
      <w:tr w:rsidR="000D55B7" w:rsidRPr="00563400" w14:paraId="7E1FC39F" w14:textId="77777777" w:rsidTr="00563400">
        <w:tc>
          <w:tcPr>
            <w:tcW w:w="1570" w:type="pct"/>
            <w:shd w:val="clear" w:color="auto" w:fill="auto"/>
            <w:vAlign w:val="center"/>
          </w:tcPr>
          <w:p w14:paraId="76F6C23A" w14:textId="77777777" w:rsidR="000D55B7" w:rsidRPr="00563400" w:rsidRDefault="00563400" w:rsidP="00903369">
            <w:pPr>
              <w:numPr>
                <w:ilvl w:val="0"/>
                <w:numId w:val="1"/>
              </w:numPr>
              <w:pBdr>
                <w:top w:val="nil"/>
                <w:left w:val="nil"/>
                <w:bottom w:val="nil"/>
                <w:right w:val="nil"/>
                <w:between w:val="nil"/>
              </w:pBdr>
              <w:tabs>
                <w:tab w:val="left" w:pos="250"/>
                <w:tab w:val="left" w:pos="360"/>
              </w:tabs>
              <w:spacing w:after="120" w:line="360" w:lineRule="auto"/>
              <w:ind w:left="0" w:firstLine="0"/>
              <w:jc w:val="both"/>
              <w:rPr>
                <w:rFonts w:ascii="Arial" w:eastAsia="Arial" w:hAnsi="Arial" w:cs="Arial"/>
                <w:color w:val="010000"/>
                <w:sz w:val="20"/>
                <w:szCs w:val="20"/>
              </w:rPr>
            </w:pPr>
            <w:r w:rsidRPr="00563400">
              <w:rPr>
                <w:rFonts w:ascii="Arial" w:hAnsi="Arial" w:cs="Arial"/>
                <w:color w:val="010000"/>
                <w:sz w:val="20"/>
              </w:rPr>
              <w:t>Reason and purpose:</w:t>
            </w:r>
          </w:p>
        </w:tc>
        <w:tc>
          <w:tcPr>
            <w:tcW w:w="3430" w:type="pct"/>
            <w:shd w:val="clear" w:color="auto" w:fill="auto"/>
            <w:vAlign w:val="center"/>
          </w:tcPr>
          <w:p w14:paraId="73863157" w14:textId="77777777" w:rsidR="000D55B7" w:rsidRPr="00563400" w:rsidRDefault="00563400" w:rsidP="00903369">
            <w:pPr>
              <w:pBdr>
                <w:top w:val="nil"/>
                <w:left w:val="nil"/>
                <w:bottom w:val="nil"/>
                <w:right w:val="nil"/>
                <w:between w:val="nil"/>
              </w:pBdr>
              <w:tabs>
                <w:tab w:val="left" w:pos="360"/>
                <w:tab w:val="left" w:pos="3956"/>
              </w:tabs>
              <w:spacing w:after="120" w:line="360" w:lineRule="auto"/>
              <w:jc w:val="both"/>
              <w:rPr>
                <w:rFonts w:ascii="Arial" w:eastAsia="Arial" w:hAnsi="Arial" w:cs="Arial"/>
                <w:color w:val="010000"/>
                <w:sz w:val="20"/>
                <w:szCs w:val="20"/>
              </w:rPr>
            </w:pPr>
            <w:r w:rsidRPr="00563400">
              <w:rPr>
                <w:rFonts w:ascii="Arial" w:hAnsi="Arial" w:cs="Arial"/>
                <w:color w:val="010000"/>
                <w:sz w:val="20"/>
              </w:rPr>
              <w:t>Bond interest payment for term 6 (from and including November 17, 2023 to and excluding May 17, 2024) and the entire principal of the bond matures.</w:t>
            </w:r>
          </w:p>
        </w:tc>
      </w:tr>
      <w:tr w:rsidR="000D55B7" w:rsidRPr="00563400" w14:paraId="0F343B80" w14:textId="77777777" w:rsidTr="00563400">
        <w:tc>
          <w:tcPr>
            <w:tcW w:w="1570" w:type="pct"/>
            <w:shd w:val="clear" w:color="auto" w:fill="auto"/>
            <w:vAlign w:val="center"/>
          </w:tcPr>
          <w:p w14:paraId="23A0B60E" w14:textId="77777777" w:rsidR="000D55B7" w:rsidRPr="00563400" w:rsidRDefault="00563400" w:rsidP="00903369">
            <w:pPr>
              <w:numPr>
                <w:ilvl w:val="0"/>
                <w:numId w:val="1"/>
              </w:numPr>
              <w:pBdr>
                <w:top w:val="nil"/>
                <w:left w:val="nil"/>
                <w:bottom w:val="nil"/>
                <w:right w:val="nil"/>
                <w:between w:val="nil"/>
              </w:pBdr>
              <w:tabs>
                <w:tab w:val="left" w:pos="250"/>
                <w:tab w:val="left" w:pos="360"/>
              </w:tabs>
              <w:spacing w:after="120" w:line="360" w:lineRule="auto"/>
              <w:ind w:left="0" w:firstLine="0"/>
              <w:jc w:val="both"/>
              <w:rPr>
                <w:rFonts w:ascii="Arial" w:eastAsia="Arial" w:hAnsi="Arial" w:cs="Arial"/>
                <w:color w:val="010000"/>
                <w:sz w:val="20"/>
                <w:szCs w:val="20"/>
              </w:rPr>
            </w:pPr>
            <w:r w:rsidRPr="00563400">
              <w:rPr>
                <w:rFonts w:ascii="Arial" w:hAnsi="Arial" w:cs="Arial"/>
                <w:color w:val="010000"/>
                <w:sz w:val="20"/>
              </w:rPr>
              <w:t>Exercise rate:</w:t>
            </w:r>
          </w:p>
        </w:tc>
        <w:tc>
          <w:tcPr>
            <w:tcW w:w="3430" w:type="pct"/>
            <w:shd w:val="clear" w:color="auto" w:fill="auto"/>
            <w:vAlign w:val="center"/>
          </w:tcPr>
          <w:p w14:paraId="67750456" w14:textId="77777777" w:rsidR="000D55B7" w:rsidRPr="00563400" w:rsidRDefault="00563400" w:rsidP="00903369">
            <w:pPr>
              <w:pBdr>
                <w:top w:val="nil"/>
                <w:left w:val="nil"/>
                <w:bottom w:val="nil"/>
                <w:right w:val="nil"/>
                <w:between w:val="nil"/>
              </w:pBdr>
              <w:tabs>
                <w:tab w:val="left" w:pos="360"/>
                <w:tab w:val="left" w:pos="3956"/>
              </w:tabs>
              <w:spacing w:after="120" w:line="360" w:lineRule="auto"/>
              <w:jc w:val="both"/>
              <w:rPr>
                <w:rFonts w:ascii="Arial" w:eastAsia="Arial" w:hAnsi="Arial" w:cs="Arial"/>
                <w:color w:val="010000"/>
                <w:sz w:val="20"/>
                <w:szCs w:val="20"/>
              </w:rPr>
            </w:pPr>
            <w:r w:rsidRPr="00563400">
              <w:rPr>
                <w:rFonts w:ascii="Arial" w:hAnsi="Arial" w:cs="Arial"/>
                <w:color w:val="010000"/>
                <w:sz w:val="20"/>
              </w:rPr>
              <w:t>Bondholders receive VND 104,736.986, rounded to three decimal places, for every bond they own. In which:</w:t>
            </w:r>
          </w:p>
        </w:tc>
      </w:tr>
    </w:tbl>
    <w:p w14:paraId="61DB5253" w14:textId="77777777" w:rsidR="000D55B7" w:rsidRPr="00563400" w:rsidRDefault="00563400" w:rsidP="0090336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63400">
        <w:rPr>
          <w:rFonts w:ascii="Arial" w:hAnsi="Arial" w:cs="Arial"/>
          <w:color w:val="010000"/>
          <w:sz w:val="20"/>
        </w:rPr>
        <w:t>Bond interest: Bondholders receive VND 100,000 x 9.5% x 182 (days)/365 (days) = VND 4,73 6.986, rounded to 3 decimal places, for every bond they own.</w:t>
      </w:r>
    </w:p>
    <w:p w14:paraId="35F2162A" w14:textId="77777777" w:rsidR="000D55B7" w:rsidRPr="00563400" w:rsidRDefault="00563400" w:rsidP="0090336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63400">
        <w:rPr>
          <w:rFonts w:ascii="Arial" w:hAnsi="Arial" w:cs="Arial"/>
          <w:color w:val="010000"/>
          <w:sz w:val="20"/>
        </w:rPr>
        <w:t>Bond principal: Bondholders receive VND 100,000 for every bond they own.</w:t>
      </w:r>
    </w:p>
    <w:p w14:paraId="23492532" w14:textId="77777777" w:rsidR="000D55B7" w:rsidRPr="00563400" w:rsidRDefault="00563400" w:rsidP="0090336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63400">
        <w:rPr>
          <w:rFonts w:ascii="Arial" w:hAnsi="Arial" w:cs="Arial"/>
          <w:color w:val="010000"/>
          <w:sz w:val="20"/>
        </w:rPr>
        <w:t>The total amount of principle and bond interest actually received by bondholders will be rounded to the unit row (if the first decimal place is equal to or greater than 5, the number is rounded up; if the first decimal place is less than 5, it will be removed).</w:t>
      </w:r>
    </w:p>
    <w:p w14:paraId="4824C422" w14:textId="77777777" w:rsidR="000D55B7" w:rsidRPr="00563400" w:rsidRDefault="00563400" w:rsidP="00903369">
      <w:pPr>
        <w:numPr>
          <w:ilvl w:val="0"/>
          <w:numId w:val="3"/>
        </w:numPr>
        <w:pBdr>
          <w:top w:val="nil"/>
          <w:left w:val="nil"/>
          <w:bottom w:val="nil"/>
          <w:right w:val="nil"/>
          <w:between w:val="nil"/>
        </w:pBdr>
        <w:tabs>
          <w:tab w:val="left" w:pos="360"/>
          <w:tab w:val="left" w:pos="579"/>
        </w:tabs>
        <w:spacing w:after="120" w:line="360" w:lineRule="auto"/>
        <w:jc w:val="both"/>
        <w:rPr>
          <w:rFonts w:ascii="Arial" w:eastAsia="Arial" w:hAnsi="Arial" w:cs="Arial"/>
          <w:color w:val="010000"/>
          <w:sz w:val="20"/>
          <w:szCs w:val="20"/>
        </w:rPr>
      </w:pPr>
      <w:r w:rsidRPr="00563400">
        <w:rPr>
          <w:rFonts w:ascii="Arial" w:hAnsi="Arial" w:cs="Arial"/>
          <w:color w:val="010000"/>
          <w:sz w:val="20"/>
        </w:rPr>
        <w:t>Date of payment: May 17, 2024</w:t>
      </w:r>
    </w:p>
    <w:p w14:paraId="45852571" w14:textId="77777777" w:rsidR="000D55B7" w:rsidRPr="00563400" w:rsidRDefault="00563400" w:rsidP="00903369">
      <w:pPr>
        <w:numPr>
          <w:ilvl w:val="0"/>
          <w:numId w:val="3"/>
        </w:numPr>
        <w:pBdr>
          <w:top w:val="nil"/>
          <w:left w:val="nil"/>
          <w:bottom w:val="nil"/>
          <w:right w:val="nil"/>
          <w:between w:val="nil"/>
        </w:pBdr>
        <w:tabs>
          <w:tab w:val="left" w:pos="360"/>
          <w:tab w:val="left" w:pos="583"/>
        </w:tabs>
        <w:spacing w:after="120" w:line="360" w:lineRule="auto"/>
        <w:jc w:val="both"/>
        <w:rPr>
          <w:rFonts w:ascii="Arial" w:eastAsia="Arial" w:hAnsi="Arial" w:cs="Arial"/>
          <w:color w:val="010000"/>
          <w:sz w:val="20"/>
          <w:szCs w:val="20"/>
        </w:rPr>
      </w:pPr>
      <w:r w:rsidRPr="00563400">
        <w:rPr>
          <w:rFonts w:ascii="Arial" w:hAnsi="Arial" w:cs="Arial"/>
          <w:color w:val="010000"/>
          <w:sz w:val="20"/>
        </w:rPr>
        <w:t>Venue of payment:</w:t>
      </w:r>
    </w:p>
    <w:p w14:paraId="1FFA38C5" w14:textId="77777777" w:rsidR="000D55B7" w:rsidRPr="00563400" w:rsidRDefault="00563400" w:rsidP="0090336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63400">
        <w:rPr>
          <w:rFonts w:ascii="Arial" w:hAnsi="Arial" w:cs="Arial"/>
          <w:color w:val="010000"/>
          <w:sz w:val="20"/>
        </w:rPr>
        <w:t xml:space="preserve"> For deposited securities: Owners perform procedures to receive corporate bond interest at Depository Members where depository accounts are opened.</w:t>
      </w:r>
    </w:p>
    <w:p w14:paraId="5D609370" w14:textId="77777777" w:rsidR="000D55B7" w:rsidRPr="00563400" w:rsidRDefault="00563400" w:rsidP="0090336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63400">
        <w:rPr>
          <w:rFonts w:ascii="Arial" w:hAnsi="Arial" w:cs="Arial"/>
          <w:color w:val="010000"/>
          <w:sz w:val="20"/>
        </w:rPr>
        <w:t>For undeposited securities: Owners perform procedures to receive corporate bond interest at GLEXHOMES JOINT STOCK COMPANY on working days from May 17, 2024, with their their ID card presented.</w:t>
      </w:r>
    </w:p>
    <w:sectPr w:rsidR="000D55B7" w:rsidRPr="00563400" w:rsidSect="0056340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0707F"/>
    <w:multiLevelType w:val="multilevel"/>
    <w:tmpl w:val="9FB4357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DE3B1B"/>
    <w:multiLevelType w:val="multilevel"/>
    <w:tmpl w:val="BF6067A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C04A49"/>
    <w:multiLevelType w:val="multilevel"/>
    <w:tmpl w:val="47DC20B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B7"/>
    <w:rsid w:val="000D55B7"/>
    <w:rsid w:val="00563400"/>
    <w:rsid w:val="0090336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BAF4E"/>
  <w15:docId w15:val="{51714671-A4DD-40C0-938B-709E479F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Pr>
      <w:rFonts w:ascii="Tahoma" w:eastAsia="Tahoma" w:hAnsi="Tahoma" w:cs="Tahoma"/>
      <w:b/>
      <w:bCs/>
      <w:i w:val="0"/>
      <w:iCs w:val="0"/>
      <w:smallCaps w:val="0"/>
      <w:strike w:val="0"/>
      <w:color w:val="9B133A"/>
      <w:w w:val="80"/>
      <w:sz w:val="18"/>
      <w:szCs w:val="1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paragraph" w:styleId="BodyText">
    <w:name w:val="Body Text"/>
    <w:basedOn w:val="Normal"/>
    <w:link w:val="BodyTextChar"/>
    <w:qFormat/>
    <w:pPr>
      <w:spacing w:line="293" w:lineRule="auto"/>
    </w:pPr>
    <w:rPr>
      <w:rFonts w:ascii="Times New Roman" w:eastAsia="Times New Roman" w:hAnsi="Times New Roman" w:cs="Times New Roman"/>
      <w:sz w:val="26"/>
      <w:szCs w:val="26"/>
    </w:rPr>
  </w:style>
  <w:style w:type="paragraph" w:customStyle="1" w:styleId="Bodytext30">
    <w:name w:val="Body text (3)"/>
    <w:basedOn w:val="Normal"/>
    <w:link w:val="Bodytext3"/>
    <w:pPr>
      <w:jc w:val="center"/>
    </w:pPr>
    <w:rPr>
      <w:rFonts w:ascii="Tahoma" w:eastAsia="Tahoma" w:hAnsi="Tahoma" w:cs="Tahoma"/>
      <w:b/>
      <w:bCs/>
      <w:color w:val="9B133A"/>
      <w:w w:val="80"/>
      <w:sz w:val="18"/>
      <w:szCs w:val="18"/>
    </w:rPr>
  </w:style>
  <w:style w:type="paragraph" w:customStyle="1" w:styleId="Bodytext20">
    <w:name w:val="Body text (2)"/>
    <w:basedOn w:val="Normal"/>
    <w:link w:val="Bodytext2"/>
    <w:rPr>
      <w:rFonts w:ascii="Times New Roman" w:eastAsia="Times New Roman" w:hAnsi="Times New Roman" w:cs="Times New Roman"/>
      <w:sz w:val="22"/>
      <w:szCs w:val="22"/>
    </w:rPr>
  </w:style>
  <w:style w:type="table" w:styleId="TableGrid">
    <w:name w:val="Table Grid"/>
    <w:basedOn w:val="TableNormal"/>
    <w:uiPriority w:val="39"/>
    <w:rsid w:val="009F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CTsBYhL6B/ayukuWx6UkUjr6uw==">CgMxLjA4AHIhMTJ6Y2kyZXpNYTdVM0JuQ2Z2cE9WajRZWTJLd0xoY0x1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2024-04-26T04:36:00Z</dcterms:created>
  <dcterms:modified xsi:type="dcterms:W3CDTF">2024-05-02T10:10:00Z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64b61de60f467fbeb22a6a11622c92453d365bd930a3592f1cfd6e61dd031f4e</vt:lpwstr>
  </property>
</Properties>
</file>