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AF81C11" w:rsidR="00CD4511" w:rsidRPr="00CF2066" w:rsidRDefault="00CD53D1" w:rsidP="001C0EF0">
      <w:pPr>
        <w:pBdr>
          <w:top w:val="nil"/>
          <w:left w:val="nil"/>
          <w:bottom w:val="nil"/>
          <w:right w:val="nil"/>
          <w:between w:val="nil"/>
        </w:pBdr>
        <w:tabs>
          <w:tab w:val="left" w:pos="432"/>
        </w:tabs>
        <w:spacing w:after="120" w:line="360" w:lineRule="auto"/>
        <w:jc w:val="both"/>
        <w:rPr>
          <w:rFonts w:ascii="Arial" w:eastAsia="Arial" w:hAnsi="Arial" w:cs="Arial"/>
          <w:b/>
          <w:sz w:val="20"/>
          <w:szCs w:val="20"/>
        </w:rPr>
      </w:pPr>
      <w:r w:rsidRPr="00CF2066">
        <w:rPr>
          <w:rFonts w:ascii="Arial" w:hAnsi="Arial"/>
          <w:b/>
          <w:sz w:val="20"/>
        </w:rPr>
        <w:t xml:space="preserve">HPM: Explanation </w:t>
      </w:r>
      <w:r w:rsidR="001C0EF0">
        <w:rPr>
          <w:rFonts w:ascii="Arial" w:hAnsi="Arial"/>
          <w:b/>
          <w:sz w:val="20"/>
        </w:rPr>
        <w:t>on an</w:t>
      </w:r>
      <w:r>
        <w:rPr>
          <w:rFonts w:ascii="Arial" w:hAnsi="Arial"/>
          <w:b/>
          <w:sz w:val="20"/>
        </w:rPr>
        <w:t>d remedy for disclaimer of</w:t>
      </w:r>
      <w:bookmarkStart w:id="0" w:name="_GoBack"/>
      <w:bookmarkEnd w:id="0"/>
      <w:r w:rsidR="001C0EF0">
        <w:rPr>
          <w:rFonts w:ascii="Arial" w:hAnsi="Arial"/>
          <w:b/>
          <w:sz w:val="20"/>
        </w:rPr>
        <w:t xml:space="preserve"> opinion</w:t>
      </w:r>
      <w:r w:rsidRPr="00CF2066">
        <w:rPr>
          <w:rFonts w:ascii="Arial" w:hAnsi="Arial"/>
          <w:b/>
          <w:sz w:val="20"/>
        </w:rPr>
        <w:t xml:space="preserve"> </w:t>
      </w:r>
    </w:p>
    <w:p w14:paraId="00000002" w14:textId="4FBBD146" w:rsidR="00CD4511" w:rsidRPr="00CF2066" w:rsidRDefault="00CD53D1" w:rsidP="001C0EF0">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CF2066">
        <w:rPr>
          <w:rFonts w:ascii="Arial" w:hAnsi="Arial"/>
          <w:sz w:val="20"/>
        </w:rPr>
        <w:t xml:space="preserve">On April 23, 2024, Hoang </w:t>
      </w:r>
      <w:proofErr w:type="spellStart"/>
      <w:r w:rsidRPr="00CF2066">
        <w:rPr>
          <w:rFonts w:ascii="Arial" w:hAnsi="Arial"/>
          <w:sz w:val="20"/>
        </w:rPr>
        <w:t>Phuc</w:t>
      </w:r>
      <w:proofErr w:type="spellEnd"/>
      <w:r w:rsidRPr="00CF2066">
        <w:rPr>
          <w:rFonts w:ascii="Arial" w:hAnsi="Arial"/>
          <w:sz w:val="20"/>
        </w:rPr>
        <w:t xml:space="preserve"> Mineral Trading and Construction Joint Stock Company announced Official Dispatch No. 06/2024/CV-HPM/TK on explaining </w:t>
      </w:r>
      <w:r w:rsidR="001C0EF0">
        <w:rPr>
          <w:rFonts w:ascii="Arial" w:hAnsi="Arial"/>
          <w:sz w:val="20"/>
        </w:rPr>
        <w:t xml:space="preserve">and proposing remedy for HPM stock status </w:t>
      </w:r>
      <w:r w:rsidRPr="00CF2066">
        <w:rPr>
          <w:rFonts w:ascii="Arial" w:hAnsi="Arial"/>
          <w:sz w:val="20"/>
        </w:rPr>
        <w:t>as follows:</w:t>
      </w:r>
    </w:p>
    <w:p w14:paraId="00000003" w14:textId="178A8180" w:rsidR="00CD4511" w:rsidRPr="00CF2066" w:rsidRDefault="00CD53D1" w:rsidP="001C0EF0">
      <w:pPr>
        <w:numPr>
          <w:ilvl w:val="0"/>
          <w:numId w:val="1"/>
        </w:numPr>
        <w:pBdr>
          <w:top w:val="nil"/>
          <w:left w:val="nil"/>
          <w:bottom w:val="nil"/>
          <w:right w:val="nil"/>
          <w:between w:val="nil"/>
        </w:pBdr>
        <w:tabs>
          <w:tab w:val="left" w:pos="432"/>
          <w:tab w:val="left" w:pos="464"/>
        </w:tabs>
        <w:spacing w:after="120" w:line="360" w:lineRule="auto"/>
        <w:jc w:val="both"/>
        <w:rPr>
          <w:rFonts w:ascii="Arial" w:eastAsia="Arial" w:hAnsi="Arial" w:cs="Arial"/>
          <w:sz w:val="20"/>
          <w:szCs w:val="20"/>
        </w:rPr>
      </w:pPr>
      <w:r w:rsidRPr="00CF2066">
        <w:rPr>
          <w:rFonts w:ascii="Arial" w:hAnsi="Arial"/>
          <w:sz w:val="20"/>
        </w:rPr>
        <w:t>Regarding the outstanding receivables and payables as of January 01, 2023 and December 31, 2023, the Company Board of Leaders is working to recover and resolve with customers and partners. In 2024, the Company will consider eva</w:t>
      </w:r>
      <w:r w:rsidRPr="00CF2066">
        <w:rPr>
          <w:rFonts w:ascii="Arial" w:hAnsi="Arial"/>
          <w:sz w:val="20"/>
        </w:rPr>
        <w:t xml:space="preserve">luating to make provisions for </w:t>
      </w:r>
      <w:r w:rsidR="001C0EF0">
        <w:rPr>
          <w:rFonts w:ascii="Arial" w:hAnsi="Arial"/>
          <w:sz w:val="20"/>
        </w:rPr>
        <w:t>doubtful</w:t>
      </w:r>
      <w:r w:rsidRPr="00CF2066">
        <w:rPr>
          <w:rFonts w:ascii="Arial" w:hAnsi="Arial"/>
          <w:sz w:val="20"/>
        </w:rPr>
        <w:t xml:space="preserve"> debts.</w:t>
      </w:r>
    </w:p>
    <w:p w14:paraId="00000004" w14:textId="77777777" w:rsidR="00CD4511" w:rsidRPr="00CF2066" w:rsidRDefault="00CD53D1" w:rsidP="001C0EF0">
      <w:pPr>
        <w:numPr>
          <w:ilvl w:val="0"/>
          <w:numId w:val="1"/>
        </w:numPr>
        <w:pBdr>
          <w:top w:val="nil"/>
          <w:left w:val="nil"/>
          <w:bottom w:val="nil"/>
          <w:right w:val="nil"/>
          <w:between w:val="nil"/>
        </w:pBdr>
        <w:tabs>
          <w:tab w:val="left" w:pos="432"/>
          <w:tab w:val="left" w:pos="467"/>
        </w:tabs>
        <w:spacing w:after="120" w:line="360" w:lineRule="auto"/>
        <w:jc w:val="both"/>
        <w:rPr>
          <w:rFonts w:ascii="Arial" w:eastAsia="Arial" w:hAnsi="Arial" w:cs="Arial"/>
          <w:sz w:val="20"/>
          <w:szCs w:val="20"/>
        </w:rPr>
      </w:pPr>
      <w:r w:rsidRPr="00CF2066">
        <w:rPr>
          <w:rFonts w:ascii="Arial" w:hAnsi="Arial"/>
          <w:sz w:val="20"/>
        </w:rPr>
        <w:t>Regarding solvency, the Company Board of Leaders and shareholders are making maximum efforts to promote core production and business activities to bring the Company to normal operation and to pay overdue</w:t>
      </w:r>
      <w:r w:rsidRPr="00CF2066">
        <w:rPr>
          <w:rFonts w:ascii="Arial" w:hAnsi="Arial"/>
          <w:sz w:val="20"/>
        </w:rPr>
        <w:t xml:space="preserve"> debts.</w:t>
      </w:r>
    </w:p>
    <w:p w14:paraId="00000005" w14:textId="77777777" w:rsidR="00CD4511" w:rsidRPr="00CF2066" w:rsidRDefault="00CD53D1" w:rsidP="001C0EF0">
      <w:pPr>
        <w:numPr>
          <w:ilvl w:val="0"/>
          <w:numId w:val="1"/>
        </w:numPr>
        <w:pBdr>
          <w:top w:val="nil"/>
          <w:left w:val="nil"/>
          <w:bottom w:val="nil"/>
          <w:right w:val="nil"/>
          <w:between w:val="nil"/>
        </w:pBdr>
        <w:tabs>
          <w:tab w:val="left" w:pos="432"/>
          <w:tab w:val="left" w:pos="467"/>
        </w:tabs>
        <w:spacing w:after="120" w:line="360" w:lineRule="auto"/>
        <w:jc w:val="both"/>
        <w:rPr>
          <w:rFonts w:ascii="Arial" w:eastAsia="Arial" w:hAnsi="Arial" w:cs="Arial"/>
          <w:sz w:val="20"/>
          <w:szCs w:val="20"/>
        </w:rPr>
      </w:pPr>
      <w:r w:rsidRPr="00CF2066">
        <w:rPr>
          <w:rFonts w:ascii="Arial" w:hAnsi="Arial"/>
          <w:sz w:val="20"/>
        </w:rPr>
        <w:t>The Company is currently in the process of freezing invoices due to outstanding tax debt, resulting in invoices not being issued to customers. The Company will arrange to pay all taxes and issue invoices when the invoice issue system is opened.</w:t>
      </w:r>
    </w:p>
    <w:p w14:paraId="00000006" w14:textId="501D839A" w:rsidR="00CD4511" w:rsidRPr="00CF2066" w:rsidRDefault="00CD53D1" w:rsidP="001C0EF0">
      <w:pPr>
        <w:numPr>
          <w:ilvl w:val="0"/>
          <w:numId w:val="1"/>
        </w:numPr>
        <w:pBdr>
          <w:top w:val="nil"/>
          <w:left w:val="nil"/>
          <w:bottom w:val="nil"/>
          <w:right w:val="nil"/>
          <w:between w:val="nil"/>
        </w:pBdr>
        <w:tabs>
          <w:tab w:val="left" w:pos="432"/>
          <w:tab w:val="left" w:pos="464"/>
        </w:tabs>
        <w:spacing w:after="120" w:line="360" w:lineRule="auto"/>
        <w:jc w:val="both"/>
        <w:rPr>
          <w:rFonts w:ascii="Arial" w:eastAsia="Arial" w:hAnsi="Arial" w:cs="Arial"/>
          <w:sz w:val="20"/>
          <w:szCs w:val="20"/>
        </w:rPr>
      </w:pPr>
      <w:r w:rsidRPr="00CF2066">
        <w:rPr>
          <w:rFonts w:ascii="Arial" w:hAnsi="Arial"/>
          <w:sz w:val="20"/>
        </w:rPr>
        <w:t>Min</w:t>
      </w:r>
      <w:r w:rsidRPr="00CF2066">
        <w:rPr>
          <w:rFonts w:ascii="Arial" w:hAnsi="Arial"/>
          <w:sz w:val="20"/>
        </w:rPr>
        <w:t>ing and production activities at the quarry have just reopened after a long time, causing the reporting and collection of dossiers to have many shortcomings and incompleteness. The Company commits to carrying out inspection and supplement</w:t>
      </w:r>
      <w:r w:rsidR="001C0EF0">
        <w:rPr>
          <w:rFonts w:ascii="Arial" w:hAnsi="Arial"/>
          <w:sz w:val="20"/>
        </w:rPr>
        <w:t xml:space="preserve"> documents</w:t>
      </w:r>
      <w:r w:rsidRPr="00CF2066">
        <w:rPr>
          <w:rFonts w:ascii="Arial" w:hAnsi="Arial"/>
          <w:sz w:val="20"/>
        </w:rPr>
        <w:t xml:space="preserve"> in 2024.</w:t>
      </w:r>
    </w:p>
    <w:p w14:paraId="00000007" w14:textId="77777777" w:rsidR="00CD4511" w:rsidRPr="00CF2066" w:rsidRDefault="00CD53D1" w:rsidP="001C0EF0">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CF2066">
        <w:rPr>
          <w:rFonts w:ascii="Arial" w:hAnsi="Arial"/>
          <w:sz w:val="20"/>
        </w:rPr>
        <w:t>In 2024,</w:t>
      </w:r>
      <w:r w:rsidRPr="00CF2066">
        <w:rPr>
          <w:rFonts w:ascii="Arial" w:hAnsi="Arial"/>
          <w:sz w:val="20"/>
        </w:rPr>
        <w:t xml:space="preserve"> the Board of Directors determines the Company's operating orientation, specifically as follows:</w:t>
      </w:r>
    </w:p>
    <w:p w14:paraId="00000008" w14:textId="77777777" w:rsidR="00CD4511" w:rsidRPr="00CF2066" w:rsidRDefault="00CD53D1" w:rsidP="001C0EF0">
      <w:pPr>
        <w:numPr>
          <w:ilvl w:val="0"/>
          <w:numId w:val="1"/>
        </w:numPr>
        <w:pBdr>
          <w:top w:val="nil"/>
          <w:left w:val="nil"/>
          <w:bottom w:val="nil"/>
          <w:right w:val="nil"/>
          <w:between w:val="nil"/>
        </w:pBdr>
        <w:tabs>
          <w:tab w:val="left" w:pos="432"/>
          <w:tab w:val="left" w:pos="615"/>
        </w:tabs>
        <w:spacing w:after="120" w:line="360" w:lineRule="auto"/>
        <w:jc w:val="both"/>
        <w:rPr>
          <w:rFonts w:ascii="Arial" w:eastAsia="Arial" w:hAnsi="Arial" w:cs="Arial"/>
          <w:sz w:val="20"/>
          <w:szCs w:val="20"/>
        </w:rPr>
      </w:pPr>
      <w:r w:rsidRPr="00CF2066">
        <w:rPr>
          <w:rFonts w:ascii="Arial" w:hAnsi="Arial"/>
          <w:sz w:val="20"/>
        </w:rPr>
        <w:t xml:space="preserve">Step by step handle overdue receivables and payables. Implement the plan to mobilize capital from strategic investors and professional investors to supplement </w:t>
      </w:r>
      <w:r w:rsidRPr="00CF2066">
        <w:rPr>
          <w:rFonts w:ascii="Arial" w:hAnsi="Arial"/>
          <w:sz w:val="20"/>
        </w:rPr>
        <w:t>operating cash flow and increase the Company's operating scale, bringing the Company out of a state of low solvency.</w:t>
      </w:r>
    </w:p>
    <w:p w14:paraId="00000009" w14:textId="77777777" w:rsidR="00CD4511" w:rsidRPr="00CF2066" w:rsidRDefault="00CD53D1" w:rsidP="001C0EF0">
      <w:pPr>
        <w:numPr>
          <w:ilvl w:val="0"/>
          <w:numId w:val="1"/>
        </w:numPr>
        <w:pBdr>
          <w:top w:val="nil"/>
          <w:left w:val="nil"/>
          <w:bottom w:val="nil"/>
          <w:right w:val="nil"/>
          <w:between w:val="nil"/>
        </w:pBdr>
        <w:tabs>
          <w:tab w:val="left" w:pos="432"/>
          <w:tab w:val="left" w:pos="620"/>
        </w:tabs>
        <w:spacing w:after="120" w:line="360" w:lineRule="auto"/>
        <w:jc w:val="both"/>
        <w:rPr>
          <w:rFonts w:ascii="Arial" w:eastAsia="Arial" w:hAnsi="Arial" w:cs="Arial"/>
          <w:sz w:val="20"/>
          <w:szCs w:val="20"/>
        </w:rPr>
      </w:pPr>
      <w:r w:rsidRPr="00CF2066">
        <w:rPr>
          <w:rFonts w:ascii="Arial" w:hAnsi="Arial"/>
          <w:sz w:val="20"/>
        </w:rPr>
        <w:t>Continue to promote mining activities, and purchase and sale contracts with customers to increase the income for the Company.</w:t>
      </w:r>
    </w:p>
    <w:p w14:paraId="0000000A" w14:textId="279121A9" w:rsidR="00CD4511" w:rsidRPr="00CF2066" w:rsidRDefault="00CD53D1" w:rsidP="001C0EF0">
      <w:pPr>
        <w:numPr>
          <w:ilvl w:val="0"/>
          <w:numId w:val="1"/>
        </w:numPr>
        <w:pBdr>
          <w:top w:val="nil"/>
          <w:left w:val="nil"/>
          <w:bottom w:val="nil"/>
          <w:right w:val="nil"/>
          <w:between w:val="nil"/>
        </w:pBdr>
        <w:tabs>
          <w:tab w:val="left" w:pos="432"/>
          <w:tab w:val="left" w:pos="620"/>
        </w:tabs>
        <w:spacing w:after="120" w:line="360" w:lineRule="auto"/>
        <w:jc w:val="both"/>
        <w:rPr>
          <w:rFonts w:ascii="Arial" w:eastAsia="Arial" w:hAnsi="Arial" w:cs="Arial"/>
          <w:sz w:val="20"/>
          <w:szCs w:val="20"/>
        </w:rPr>
        <w:sectPr w:rsidR="00CD4511" w:rsidRPr="00CF2066" w:rsidSect="00D81D5C">
          <w:pgSz w:w="11906" w:h="16838"/>
          <w:pgMar w:top="1440" w:right="1440" w:bottom="1440" w:left="1440" w:header="0" w:footer="3" w:gutter="0"/>
          <w:pgNumType w:start="1"/>
          <w:cols w:space="720"/>
        </w:sectPr>
      </w:pPr>
      <w:r w:rsidRPr="00CF2066">
        <w:rPr>
          <w:rFonts w:ascii="Arial" w:hAnsi="Arial"/>
          <w:sz w:val="20"/>
        </w:rPr>
        <w:t>Build and implement internal management systems, develop and promulgate information disclosure regulations, operating regulation</w:t>
      </w:r>
      <w:r w:rsidR="001C0EF0">
        <w:rPr>
          <w:rFonts w:ascii="Arial" w:hAnsi="Arial"/>
          <w:sz w:val="20"/>
        </w:rPr>
        <w:t>s for the Supervisory Board, Board of Directors</w:t>
      </w:r>
      <w:r w:rsidRPr="00CF2066">
        <w:rPr>
          <w:rFonts w:ascii="Arial" w:hAnsi="Arial"/>
          <w:sz w:val="20"/>
        </w:rPr>
        <w:t xml:space="preserve"> and internal audit regulations to improve transparency </w:t>
      </w:r>
      <w:r w:rsidRPr="00CF2066">
        <w:rPr>
          <w:rFonts w:ascii="Arial" w:hAnsi="Arial"/>
          <w:sz w:val="20"/>
        </w:rPr>
        <w:t>and efficiency of corporate governance and meet regulations on public company.</w:t>
      </w:r>
    </w:p>
    <w:p w14:paraId="0000000B" w14:textId="77777777" w:rsidR="00CD4511" w:rsidRPr="00CF2066" w:rsidRDefault="00CD4511" w:rsidP="001C0EF0">
      <w:pPr>
        <w:pBdr>
          <w:top w:val="nil"/>
          <w:left w:val="nil"/>
          <w:bottom w:val="nil"/>
          <w:right w:val="nil"/>
          <w:between w:val="nil"/>
        </w:pBdr>
        <w:tabs>
          <w:tab w:val="left" w:pos="432"/>
        </w:tabs>
        <w:spacing w:after="120" w:line="360" w:lineRule="auto"/>
        <w:jc w:val="both"/>
        <w:rPr>
          <w:rFonts w:ascii="Arial" w:eastAsia="Arial" w:hAnsi="Arial" w:cs="Arial"/>
          <w:sz w:val="20"/>
          <w:szCs w:val="20"/>
        </w:rPr>
      </w:pPr>
    </w:p>
    <w:sectPr w:rsidR="00CD4511" w:rsidRPr="00CF2066">
      <w:type w:val="continuous"/>
      <w:pgSz w:w="11906" w:h="16838"/>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5AD0"/>
    <w:multiLevelType w:val="multilevel"/>
    <w:tmpl w:val="33A6E9B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11"/>
    <w:rsid w:val="001C0EF0"/>
    <w:rsid w:val="00CD4511"/>
    <w:rsid w:val="00CD53D1"/>
    <w:rsid w:val="00CF2066"/>
    <w:rsid w:val="00D8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8C0C"/>
  <w15:docId w15:val="{A8902463-A2C0-40CA-9D4E-5A2A61FA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rPr>
  </w:style>
  <w:style w:type="paragraph" w:customStyle="1" w:styleId="Vnbnnidung30">
    <w:name w:val="Văn bản nội dung (3)"/>
    <w:basedOn w:val="Normal"/>
    <w:link w:val="Vnbnnidung3"/>
    <w:pPr>
      <w:jc w:val="center"/>
    </w:pPr>
    <w:rPr>
      <w:rFonts w:ascii="Arial" w:eastAsia="Arial" w:hAnsi="Arial" w:cs="Arial"/>
      <w:sz w:val="20"/>
      <w:szCs w:val="20"/>
    </w:rPr>
  </w:style>
  <w:style w:type="paragraph" w:customStyle="1" w:styleId="Vnbnnidung20">
    <w:name w:val="Văn bản nội dung (2)"/>
    <w:basedOn w:val="Normal"/>
    <w:link w:val="Vnbnnidung2"/>
    <w:pPr>
      <w:spacing w:line="233" w:lineRule="auto"/>
    </w:pPr>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S8Pb/5BL0+M39gQum+aQDcBtgA==">CgMxLjA4AHIhMUliNmNtTjZ4U3RvbWJiZU50WktoM0txQ1JGZ0d3Nzlq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2024-05-02T04:16:00Z</dcterms:created>
  <dcterms:modified xsi:type="dcterms:W3CDTF">2024-05-02T04:16:00Z</dcterms:modified>
</cp:coreProperties>
</file>