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8F7E1" w14:textId="77777777" w:rsidR="000A7613" w:rsidRPr="00B57B20" w:rsidRDefault="0035703F" w:rsidP="007E0FC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57B20">
        <w:rPr>
          <w:rFonts w:ascii="Arial" w:hAnsi="Arial" w:cs="Arial"/>
          <w:b/>
          <w:color w:val="010000"/>
          <w:sz w:val="20"/>
        </w:rPr>
        <w:t>LDW: Annual General Mandate 2024</w:t>
      </w:r>
    </w:p>
    <w:p w14:paraId="384A29D0" w14:textId="63AA84B7" w:rsidR="000A7613" w:rsidRPr="00B57B20" w:rsidRDefault="0035703F" w:rsidP="007E0FC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57B20">
        <w:rPr>
          <w:rFonts w:ascii="Arial" w:hAnsi="Arial" w:cs="Arial"/>
          <w:color w:val="010000"/>
          <w:sz w:val="20"/>
        </w:rPr>
        <w:t xml:space="preserve">On April 22, 2024, Lam Dong Water Supply </w:t>
      </w:r>
      <w:proofErr w:type="gramStart"/>
      <w:r w:rsidRPr="00B57B20">
        <w:rPr>
          <w:rFonts w:ascii="Arial" w:hAnsi="Arial" w:cs="Arial"/>
          <w:color w:val="010000"/>
          <w:sz w:val="20"/>
        </w:rPr>
        <w:t>And</w:t>
      </w:r>
      <w:proofErr w:type="gramEnd"/>
      <w:r w:rsidRPr="00B57B20">
        <w:rPr>
          <w:rFonts w:ascii="Arial" w:hAnsi="Arial" w:cs="Arial"/>
          <w:color w:val="010000"/>
          <w:sz w:val="20"/>
        </w:rPr>
        <w:t xml:space="preserve"> Sewerage Company Ltd. announced General Mandate No. 01/2024/NQ-DHDCD as follows:</w:t>
      </w:r>
    </w:p>
    <w:p w14:paraId="1032D773" w14:textId="38996474" w:rsidR="000A7613" w:rsidRPr="00B57B20" w:rsidRDefault="0035703F" w:rsidP="007E0FC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57B20">
        <w:rPr>
          <w:rFonts w:ascii="Arial" w:hAnsi="Arial" w:cs="Arial"/>
          <w:color w:val="010000"/>
          <w:sz w:val="20"/>
        </w:rPr>
        <w:t xml:space="preserve">‎‎Article 1. Approve contents presented at the </w:t>
      </w:r>
      <w:r w:rsidR="007E0FCE">
        <w:rPr>
          <w:rFonts w:ascii="Arial" w:hAnsi="Arial" w:cs="Arial"/>
          <w:color w:val="010000"/>
          <w:sz w:val="20"/>
        </w:rPr>
        <w:t>General Meeting</w:t>
      </w:r>
      <w:r w:rsidRPr="00B57B20">
        <w:rPr>
          <w:rFonts w:ascii="Arial" w:hAnsi="Arial" w:cs="Arial"/>
          <w:color w:val="010000"/>
          <w:sz w:val="20"/>
        </w:rPr>
        <w:t xml:space="preserve"> 2024 by the Board of Directors as follows: </w:t>
      </w:r>
    </w:p>
    <w:p w14:paraId="098003D0" w14:textId="249B1B3F" w:rsidR="000A7613" w:rsidRPr="00B57B20" w:rsidRDefault="0035703F" w:rsidP="007E0F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2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57B20">
        <w:rPr>
          <w:rFonts w:ascii="Arial" w:hAnsi="Arial" w:cs="Arial"/>
          <w:color w:val="010000"/>
          <w:sz w:val="20"/>
        </w:rPr>
        <w:t>Proposal No. 1: Approve the Audited Financial Statements 2023.</w:t>
      </w:r>
    </w:p>
    <w:p w14:paraId="0F1EFC69" w14:textId="77777777" w:rsidR="000A7613" w:rsidRPr="00B57B20" w:rsidRDefault="0035703F" w:rsidP="007E0F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2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57B20">
        <w:rPr>
          <w:rFonts w:ascii="Arial" w:hAnsi="Arial" w:cs="Arial"/>
          <w:color w:val="010000"/>
          <w:sz w:val="20"/>
        </w:rPr>
        <w:t xml:space="preserve">Proposal No. 2: Report on the governance and activities of the Board of Directors and each member of the Board of Directors in 2023; the operation </w:t>
      </w:r>
      <w:proofErr w:type="gramStart"/>
      <w:r w:rsidRPr="00B57B20">
        <w:rPr>
          <w:rFonts w:ascii="Arial" w:hAnsi="Arial" w:cs="Arial"/>
          <w:color w:val="010000"/>
          <w:sz w:val="20"/>
        </w:rPr>
        <w:t>plan</w:t>
      </w:r>
      <w:proofErr w:type="gramEnd"/>
      <w:r w:rsidRPr="00B57B20">
        <w:rPr>
          <w:rFonts w:ascii="Arial" w:hAnsi="Arial" w:cs="Arial"/>
          <w:color w:val="010000"/>
          <w:sz w:val="20"/>
        </w:rPr>
        <w:t xml:space="preserve"> for 2024;</w:t>
      </w:r>
    </w:p>
    <w:p w14:paraId="32C60450" w14:textId="77777777" w:rsidR="000A7613" w:rsidRPr="00B57B20" w:rsidRDefault="0035703F" w:rsidP="007E0F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2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57B20">
        <w:rPr>
          <w:rFonts w:ascii="Arial" w:hAnsi="Arial" w:cs="Arial"/>
          <w:color w:val="010000"/>
          <w:sz w:val="20"/>
        </w:rPr>
        <w:t>Proposal No. 3: Report of the Supervisory Board on the business results of the Company and the operation results of the Board of Directors and the Board of Managers in 2023;</w:t>
      </w:r>
    </w:p>
    <w:p w14:paraId="71A0456E" w14:textId="77777777" w:rsidR="000A7613" w:rsidRPr="00B57B20" w:rsidRDefault="0035703F" w:rsidP="007E0F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2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57B20">
        <w:rPr>
          <w:rFonts w:ascii="Arial" w:hAnsi="Arial" w:cs="Arial"/>
          <w:color w:val="010000"/>
          <w:sz w:val="20"/>
        </w:rPr>
        <w:t>Proposal No. 4: Self-assessment report on operating result of the Supervisory Board and each member of the Supervisory Board in 2023;</w:t>
      </w:r>
    </w:p>
    <w:p w14:paraId="2C947B08" w14:textId="77777777" w:rsidR="000A7613" w:rsidRPr="00B57B20" w:rsidRDefault="0035703F" w:rsidP="007E0F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2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57B20">
        <w:rPr>
          <w:rFonts w:ascii="Arial" w:hAnsi="Arial" w:cs="Arial"/>
          <w:color w:val="010000"/>
          <w:sz w:val="20"/>
        </w:rPr>
        <w:t>Proposal No. 5: Approve the production and business results in 2023.</w:t>
      </w:r>
    </w:p>
    <w:p w14:paraId="5740B54D" w14:textId="77777777" w:rsidR="000A7613" w:rsidRPr="00B57B20" w:rsidRDefault="0035703F" w:rsidP="007E0F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57B20">
        <w:rPr>
          <w:rFonts w:ascii="Arial" w:hAnsi="Arial" w:cs="Arial"/>
          <w:color w:val="010000"/>
          <w:sz w:val="20"/>
        </w:rPr>
        <w:t xml:space="preserve">Production and business activities results, dividend 2023 including main targets as follows: </w:t>
      </w:r>
    </w:p>
    <w:p w14:paraId="68782B2E" w14:textId="77777777" w:rsidR="000A7613" w:rsidRPr="00B57B20" w:rsidRDefault="0035703F" w:rsidP="007E0F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57B20">
        <w:rPr>
          <w:rFonts w:ascii="Arial" w:hAnsi="Arial" w:cs="Arial"/>
          <w:color w:val="010000"/>
          <w:sz w:val="20"/>
        </w:rPr>
        <w:t>Total revenue: VND 354,386,000,000</w:t>
      </w:r>
    </w:p>
    <w:p w14:paraId="651D663D" w14:textId="4BAA25EF" w:rsidR="000A7613" w:rsidRPr="00B57B20" w:rsidRDefault="0035703F" w:rsidP="007E0F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5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57B20">
        <w:rPr>
          <w:rFonts w:ascii="Arial" w:hAnsi="Arial" w:cs="Arial"/>
          <w:color w:val="010000"/>
          <w:sz w:val="20"/>
        </w:rPr>
        <w:t>Main production revenue: VND 269,481,000,000</w:t>
      </w:r>
    </w:p>
    <w:p w14:paraId="33E82CE5" w14:textId="585C5EE2" w:rsidR="000A7613" w:rsidRPr="00B57B20" w:rsidRDefault="0035703F" w:rsidP="007E0F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5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57B20">
        <w:rPr>
          <w:rFonts w:ascii="Arial" w:hAnsi="Arial" w:cs="Arial"/>
          <w:color w:val="010000"/>
          <w:sz w:val="20"/>
        </w:rPr>
        <w:t>Loss rate: 18%</w:t>
      </w:r>
    </w:p>
    <w:p w14:paraId="6D0F14E5" w14:textId="77777777" w:rsidR="000A7613" w:rsidRPr="00B57B20" w:rsidRDefault="0035703F" w:rsidP="007E0F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5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57B20">
        <w:rPr>
          <w:rFonts w:ascii="Arial" w:hAnsi="Arial" w:cs="Arial"/>
          <w:color w:val="010000"/>
          <w:sz w:val="20"/>
        </w:rPr>
        <w:t>Total profit before tax: VND 98,883,000,000</w:t>
      </w:r>
    </w:p>
    <w:p w14:paraId="76A18EDF" w14:textId="452EFDB7" w:rsidR="000A7613" w:rsidRPr="00B57B20" w:rsidRDefault="0035703F" w:rsidP="007E0F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758"/>
          <w:tab w:val="left" w:pos="229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57B20">
        <w:rPr>
          <w:rFonts w:ascii="Arial" w:hAnsi="Arial" w:cs="Arial"/>
          <w:color w:val="010000"/>
          <w:sz w:val="20"/>
        </w:rPr>
        <w:t xml:space="preserve">Dividends: 5.1% (VND </w:t>
      </w:r>
      <w:r w:rsidR="007E0FCE">
        <w:rPr>
          <w:rFonts w:ascii="Arial" w:hAnsi="Arial" w:cs="Arial"/>
          <w:color w:val="010000"/>
          <w:sz w:val="20"/>
        </w:rPr>
        <w:t>510/</w:t>
      </w:r>
      <w:r w:rsidRPr="00B57B20">
        <w:rPr>
          <w:rFonts w:ascii="Arial" w:hAnsi="Arial" w:cs="Arial"/>
          <w:color w:val="010000"/>
          <w:sz w:val="20"/>
        </w:rPr>
        <w:t>share)</w:t>
      </w:r>
    </w:p>
    <w:p w14:paraId="2EF3009E" w14:textId="77777777" w:rsidR="000A7613" w:rsidRPr="00B57B20" w:rsidRDefault="0035703F" w:rsidP="007E0F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268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B57B20">
        <w:rPr>
          <w:rFonts w:ascii="Arial" w:hAnsi="Arial" w:cs="Arial"/>
          <w:bCs/>
          <w:color w:val="010000"/>
          <w:sz w:val="20"/>
        </w:rPr>
        <w:t>Proposal No. 6: Production and business plan, expected dividend in 2024.</w:t>
      </w:r>
    </w:p>
    <w:p w14:paraId="3B6B6DC3" w14:textId="77777777" w:rsidR="000A7613" w:rsidRPr="00B57B20" w:rsidRDefault="0035703F" w:rsidP="007E0F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57B20">
        <w:rPr>
          <w:rFonts w:ascii="Arial" w:hAnsi="Arial" w:cs="Arial"/>
          <w:color w:val="010000"/>
          <w:sz w:val="20"/>
        </w:rPr>
        <w:t>Production and business plan 2024, expect dividend rate 2024 including main targets as follows:</w:t>
      </w:r>
    </w:p>
    <w:p w14:paraId="235EACCE" w14:textId="77777777" w:rsidR="000A7613" w:rsidRPr="00B57B20" w:rsidRDefault="0035703F" w:rsidP="007E0F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57B20">
        <w:rPr>
          <w:rFonts w:ascii="Arial" w:hAnsi="Arial" w:cs="Arial"/>
          <w:color w:val="010000"/>
          <w:sz w:val="20"/>
        </w:rPr>
        <w:t>Total revenue: VND 355,302,000,000</w:t>
      </w:r>
    </w:p>
    <w:p w14:paraId="021821F2" w14:textId="080E1477" w:rsidR="000A7613" w:rsidRPr="00B57B20" w:rsidRDefault="0035703F" w:rsidP="007E0F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57B20">
        <w:rPr>
          <w:rFonts w:ascii="Arial" w:hAnsi="Arial" w:cs="Arial"/>
          <w:color w:val="010000"/>
          <w:sz w:val="20"/>
        </w:rPr>
        <w:t>Revenue from production and business activities: VND 311,263,000,000</w:t>
      </w:r>
    </w:p>
    <w:p w14:paraId="72DB02D9" w14:textId="1EDCC8F9" w:rsidR="000A7613" w:rsidRPr="00B57B20" w:rsidRDefault="0035703F" w:rsidP="007E0F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57B20">
        <w:rPr>
          <w:rFonts w:ascii="Arial" w:hAnsi="Arial" w:cs="Arial"/>
          <w:color w:val="010000"/>
          <w:sz w:val="20"/>
        </w:rPr>
        <w:t>Loss rate: 18%</w:t>
      </w:r>
    </w:p>
    <w:p w14:paraId="5709390B" w14:textId="77777777" w:rsidR="000A7613" w:rsidRPr="00B57B20" w:rsidRDefault="0035703F" w:rsidP="007E0F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57B20">
        <w:rPr>
          <w:rFonts w:ascii="Arial" w:hAnsi="Arial" w:cs="Arial"/>
          <w:color w:val="010000"/>
          <w:sz w:val="20"/>
        </w:rPr>
        <w:t>Total profit before tax: VND 85,722,000,000</w:t>
      </w:r>
    </w:p>
    <w:p w14:paraId="17DE2F4B" w14:textId="37E638CF" w:rsidR="000A7613" w:rsidRPr="00B57B20" w:rsidRDefault="007E0FCE" w:rsidP="007E0F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Dividends: ≥4.35% (≥ VND 435/</w:t>
      </w:r>
      <w:r w:rsidR="0035703F" w:rsidRPr="00B57B20">
        <w:rPr>
          <w:rFonts w:ascii="Arial" w:hAnsi="Arial" w:cs="Arial"/>
          <w:color w:val="010000"/>
          <w:sz w:val="20"/>
        </w:rPr>
        <w:t>share)</w:t>
      </w:r>
    </w:p>
    <w:p w14:paraId="41C910FC" w14:textId="1850EF33" w:rsidR="000A7613" w:rsidRPr="00B57B20" w:rsidRDefault="0035703F" w:rsidP="007E0F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268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B57B20">
        <w:rPr>
          <w:rFonts w:ascii="Arial" w:hAnsi="Arial" w:cs="Arial"/>
          <w:bCs/>
          <w:color w:val="010000"/>
          <w:sz w:val="20"/>
        </w:rPr>
        <w:t>Proposal No. 7: Plan on the selection of an audit company for the Financial Statements 2024;</w:t>
      </w:r>
    </w:p>
    <w:p w14:paraId="599D6AFD" w14:textId="77777777" w:rsidR="000A7613" w:rsidRPr="00B57B20" w:rsidRDefault="0035703F" w:rsidP="007E0F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2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57B20">
        <w:rPr>
          <w:rFonts w:ascii="Arial" w:hAnsi="Arial" w:cs="Arial"/>
          <w:color w:val="010000"/>
          <w:sz w:val="20"/>
        </w:rPr>
        <w:t>Proposal No. 8: Plan on profit distribution and dividend payment in 2023</w:t>
      </w:r>
    </w:p>
    <w:p w14:paraId="071E44C7" w14:textId="77777777" w:rsidR="000A7613" w:rsidRPr="00B57B20" w:rsidRDefault="0035703F" w:rsidP="007E0FC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1602"/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57B20">
        <w:rPr>
          <w:rFonts w:ascii="Arial" w:hAnsi="Arial" w:cs="Arial"/>
          <w:color w:val="010000"/>
          <w:sz w:val="20"/>
        </w:rPr>
        <w:t>Profit distribution in 2023:</w:t>
      </w:r>
    </w:p>
    <w:p w14:paraId="2F414A1B" w14:textId="77777777" w:rsidR="000A7613" w:rsidRPr="00B57B20" w:rsidRDefault="0035703F" w:rsidP="007E0FCE">
      <w:pPr>
        <w:pBdr>
          <w:top w:val="nil"/>
          <w:left w:val="nil"/>
          <w:bottom w:val="nil"/>
          <w:right w:val="nil"/>
          <w:between w:val="nil"/>
        </w:pBdr>
        <w:tabs>
          <w:tab w:val="left" w:pos="-1602"/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57B20">
        <w:rPr>
          <w:rFonts w:ascii="Arial" w:hAnsi="Arial" w:cs="Arial"/>
          <w:color w:val="010000"/>
          <w:sz w:val="20"/>
        </w:rPr>
        <w:t>Unit: VND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3"/>
        <w:gridCol w:w="6407"/>
        <w:gridCol w:w="2056"/>
      </w:tblGrid>
      <w:tr w:rsidR="000A7613" w:rsidRPr="00B57B20" w14:paraId="2AED01EB" w14:textId="77777777" w:rsidTr="00B57B20">
        <w:tc>
          <w:tcPr>
            <w:tcW w:w="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C4B00B" w14:textId="77777777" w:rsidR="000A7613" w:rsidRPr="00B57B20" w:rsidRDefault="0035703F" w:rsidP="00B57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7B20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35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A285B6" w14:textId="77777777" w:rsidR="000A7613" w:rsidRPr="00B57B20" w:rsidRDefault="0035703F" w:rsidP="00B57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7B20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11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F090B9" w14:textId="77777777" w:rsidR="000A7613" w:rsidRPr="00B57B20" w:rsidRDefault="0035703F" w:rsidP="00B57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7B20">
              <w:rPr>
                <w:rFonts w:ascii="Arial" w:hAnsi="Arial" w:cs="Arial"/>
                <w:color w:val="010000"/>
                <w:sz w:val="20"/>
              </w:rPr>
              <w:t>Amount</w:t>
            </w:r>
          </w:p>
        </w:tc>
      </w:tr>
      <w:tr w:rsidR="000A7613" w:rsidRPr="00B57B20" w14:paraId="2D6E1B86" w14:textId="77777777" w:rsidTr="00B57B20">
        <w:tc>
          <w:tcPr>
            <w:tcW w:w="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6F5FBF" w14:textId="77777777" w:rsidR="000A7613" w:rsidRPr="00B57B20" w:rsidRDefault="0035703F" w:rsidP="00B57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7B20">
              <w:rPr>
                <w:rFonts w:ascii="Arial" w:hAnsi="Arial" w:cs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35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B91841" w14:textId="1716CD47" w:rsidR="000A7613" w:rsidRPr="00B57B20" w:rsidRDefault="0035703F" w:rsidP="00B57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7B20">
              <w:rPr>
                <w:rFonts w:ascii="Arial" w:hAnsi="Arial" w:cs="Arial"/>
                <w:color w:val="010000"/>
                <w:sz w:val="20"/>
              </w:rPr>
              <w:t>Profit after tax 2023</w:t>
            </w:r>
          </w:p>
        </w:tc>
        <w:tc>
          <w:tcPr>
            <w:tcW w:w="11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E41E60" w14:textId="77777777" w:rsidR="000A7613" w:rsidRPr="00B57B20" w:rsidRDefault="0035703F" w:rsidP="00B57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7B20">
              <w:rPr>
                <w:rFonts w:ascii="Arial" w:hAnsi="Arial" w:cs="Arial"/>
                <w:color w:val="010000"/>
                <w:sz w:val="20"/>
              </w:rPr>
              <w:t>79,056,153,431</w:t>
            </w:r>
          </w:p>
        </w:tc>
      </w:tr>
      <w:tr w:rsidR="000A7613" w:rsidRPr="00B57B20" w14:paraId="6548639F" w14:textId="77777777" w:rsidTr="00B57B20">
        <w:tc>
          <w:tcPr>
            <w:tcW w:w="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22A491" w14:textId="77777777" w:rsidR="000A7613" w:rsidRPr="00B57B20" w:rsidRDefault="0035703F" w:rsidP="00B57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7B20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35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10340D" w14:textId="77777777" w:rsidR="000A7613" w:rsidRPr="00B57B20" w:rsidRDefault="0035703F" w:rsidP="00B57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7B20">
              <w:rPr>
                <w:rFonts w:ascii="Arial" w:hAnsi="Arial" w:cs="Arial"/>
                <w:color w:val="010000"/>
                <w:sz w:val="20"/>
              </w:rPr>
              <w:t>Expected profit distribution in 2023:</w:t>
            </w:r>
          </w:p>
        </w:tc>
        <w:tc>
          <w:tcPr>
            <w:tcW w:w="11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A9CDC9" w14:textId="77777777" w:rsidR="000A7613" w:rsidRPr="00B57B20" w:rsidRDefault="0035703F" w:rsidP="00B57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7B20">
              <w:rPr>
                <w:rFonts w:ascii="Arial" w:hAnsi="Arial" w:cs="Arial"/>
                <w:color w:val="010000"/>
                <w:sz w:val="20"/>
              </w:rPr>
              <w:t>79,056,153,431</w:t>
            </w:r>
          </w:p>
        </w:tc>
      </w:tr>
      <w:tr w:rsidR="000A7613" w:rsidRPr="00B57B20" w14:paraId="5468EF32" w14:textId="77777777" w:rsidTr="00B57B20">
        <w:tc>
          <w:tcPr>
            <w:tcW w:w="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22AF2B" w14:textId="77777777" w:rsidR="000A7613" w:rsidRPr="00B57B20" w:rsidRDefault="000A7613" w:rsidP="00B57B20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5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A6C762" w14:textId="77777777" w:rsidR="000A7613" w:rsidRPr="00B57B20" w:rsidRDefault="0035703F" w:rsidP="00B57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7B20">
              <w:rPr>
                <w:rFonts w:ascii="Arial" w:hAnsi="Arial" w:cs="Arial"/>
                <w:color w:val="010000"/>
                <w:sz w:val="20"/>
              </w:rPr>
              <w:t>In which:</w:t>
            </w:r>
          </w:p>
        </w:tc>
        <w:tc>
          <w:tcPr>
            <w:tcW w:w="11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3BCE60" w14:textId="77777777" w:rsidR="000A7613" w:rsidRPr="00B57B20" w:rsidRDefault="000A7613" w:rsidP="00B57B20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A7613" w:rsidRPr="00B57B20" w14:paraId="65357232" w14:textId="77777777" w:rsidTr="00B57B20">
        <w:tc>
          <w:tcPr>
            <w:tcW w:w="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AD4574" w14:textId="77777777" w:rsidR="000A7613" w:rsidRPr="00B57B20" w:rsidRDefault="0035703F" w:rsidP="00B57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7B20">
              <w:rPr>
                <w:rFonts w:ascii="Arial" w:hAnsi="Arial" w:cs="Arial"/>
                <w:color w:val="010000"/>
                <w:sz w:val="20"/>
              </w:rPr>
              <w:t>2.1</w:t>
            </w:r>
          </w:p>
        </w:tc>
        <w:tc>
          <w:tcPr>
            <w:tcW w:w="35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4E4963" w14:textId="77777777" w:rsidR="000A7613" w:rsidRPr="00B57B20" w:rsidRDefault="0035703F" w:rsidP="00B57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7B20">
              <w:rPr>
                <w:rFonts w:ascii="Arial" w:hAnsi="Arial" w:cs="Arial"/>
                <w:color w:val="010000"/>
                <w:sz w:val="20"/>
              </w:rPr>
              <w:t>- Investment and development fund.</w:t>
            </w:r>
          </w:p>
        </w:tc>
        <w:tc>
          <w:tcPr>
            <w:tcW w:w="11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62110F" w14:textId="77777777" w:rsidR="000A7613" w:rsidRPr="00B57B20" w:rsidRDefault="0035703F" w:rsidP="00B57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7B20">
              <w:rPr>
                <w:rFonts w:ascii="Arial" w:hAnsi="Arial" w:cs="Arial"/>
                <w:color w:val="010000"/>
                <w:sz w:val="20"/>
              </w:rPr>
              <w:t>15,811,230,686</w:t>
            </w:r>
          </w:p>
        </w:tc>
      </w:tr>
      <w:tr w:rsidR="000A7613" w:rsidRPr="00B57B20" w14:paraId="3DD3C59F" w14:textId="77777777" w:rsidTr="00B57B20">
        <w:tc>
          <w:tcPr>
            <w:tcW w:w="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6ACAD8" w14:textId="77777777" w:rsidR="000A7613" w:rsidRPr="00B57B20" w:rsidRDefault="0035703F" w:rsidP="00B57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7B20">
              <w:rPr>
                <w:rFonts w:ascii="Arial" w:hAnsi="Arial" w:cs="Arial"/>
                <w:color w:val="010000"/>
                <w:sz w:val="20"/>
              </w:rPr>
              <w:t>2.2</w:t>
            </w:r>
          </w:p>
        </w:tc>
        <w:tc>
          <w:tcPr>
            <w:tcW w:w="35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F4A2C6" w14:textId="56480FDF" w:rsidR="000A7613" w:rsidRPr="00B57B20" w:rsidRDefault="0035703F" w:rsidP="00B57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7B20">
              <w:rPr>
                <w:rFonts w:ascii="Arial" w:hAnsi="Arial" w:cs="Arial"/>
                <w:color w:val="010000"/>
                <w:sz w:val="20"/>
              </w:rPr>
              <w:t>Bonus and welfare fund</w:t>
            </w:r>
          </w:p>
        </w:tc>
        <w:tc>
          <w:tcPr>
            <w:tcW w:w="11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156BC2" w14:textId="77777777" w:rsidR="000A7613" w:rsidRPr="00B57B20" w:rsidRDefault="0035703F" w:rsidP="00B57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7B20">
              <w:rPr>
                <w:rFonts w:ascii="Arial" w:hAnsi="Arial" w:cs="Arial"/>
                <w:color w:val="010000"/>
                <w:sz w:val="20"/>
              </w:rPr>
              <w:t>20,730,392,751</w:t>
            </w:r>
          </w:p>
        </w:tc>
      </w:tr>
      <w:tr w:rsidR="000A7613" w:rsidRPr="00B57B20" w14:paraId="03EB012C" w14:textId="77777777" w:rsidTr="00B57B20">
        <w:tc>
          <w:tcPr>
            <w:tcW w:w="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513DEE" w14:textId="77777777" w:rsidR="000A7613" w:rsidRPr="00B57B20" w:rsidRDefault="000A7613" w:rsidP="00B57B20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5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C18CC8" w14:textId="77777777" w:rsidR="000A7613" w:rsidRPr="00B57B20" w:rsidRDefault="0035703F" w:rsidP="00B57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7B20">
              <w:rPr>
                <w:rFonts w:ascii="Arial" w:hAnsi="Arial" w:cs="Arial"/>
                <w:color w:val="010000"/>
                <w:sz w:val="20"/>
              </w:rPr>
              <w:t>+ Bonus Fund (90%)</w:t>
            </w:r>
          </w:p>
        </w:tc>
        <w:tc>
          <w:tcPr>
            <w:tcW w:w="11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42ACC5" w14:textId="77777777" w:rsidR="000A7613" w:rsidRPr="00B57B20" w:rsidRDefault="0035703F" w:rsidP="00B57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7B20">
              <w:rPr>
                <w:rFonts w:ascii="Arial" w:hAnsi="Arial" w:cs="Arial"/>
                <w:color w:val="010000"/>
                <w:sz w:val="20"/>
              </w:rPr>
              <w:t>18,657,353,476</w:t>
            </w:r>
          </w:p>
        </w:tc>
      </w:tr>
      <w:tr w:rsidR="000A7613" w:rsidRPr="00B57B20" w14:paraId="3F004894" w14:textId="77777777" w:rsidTr="00B57B20">
        <w:tc>
          <w:tcPr>
            <w:tcW w:w="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98B545" w14:textId="77777777" w:rsidR="000A7613" w:rsidRPr="00B57B20" w:rsidRDefault="000A7613" w:rsidP="00B57B20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5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6F126D" w14:textId="77777777" w:rsidR="000A7613" w:rsidRPr="00B57B20" w:rsidRDefault="0035703F" w:rsidP="00B57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7B20">
              <w:rPr>
                <w:rFonts w:ascii="Arial" w:hAnsi="Arial" w:cs="Arial"/>
                <w:color w:val="010000"/>
                <w:sz w:val="20"/>
              </w:rPr>
              <w:t>+ Welfare fund (10%)</w:t>
            </w:r>
          </w:p>
        </w:tc>
        <w:tc>
          <w:tcPr>
            <w:tcW w:w="11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22AAD4" w14:textId="77777777" w:rsidR="000A7613" w:rsidRPr="00B57B20" w:rsidRDefault="0035703F" w:rsidP="00B57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7B20">
              <w:rPr>
                <w:rFonts w:ascii="Arial" w:hAnsi="Arial" w:cs="Arial"/>
                <w:color w:val="010000"/>
                <w:sz w:val="20"/>
              </w:rPr>
              <w:t>2,073,039,275</w:t>
            </w:r>
          </w:p>
        </w:tc>
      </w:tr>
      <w:tr w:rsidR="000A7613" w:rsidRPr="00B57B20" w14:paraId="63EAEAEF" w14:textId="77777777" w:rsidTr="00B57B20">
        <w:tc>
          <w:tcPr>
            <w:tcW w:w="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ED2D23" w14:textId="77777777" w:rsidR="000A7613" w:rsidRPr="00B57B20" w:rsidRDefault="0035703F" w:rsidP="00B57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7B20">
              <w:rPr>
                <w:rFonts w:ascii="Arial" w:hAnsi="Arial" w:cs="Arial"/>
                <w:color w:val="010000"/>
                <w:sz w:val="20"/>
              </w:rPr>
              <w:t>2.3</w:t>
            </w:r>
          </w:p>
        </w:tc>
        <w:tc>
          <w:tcPr>
            <w:tcW w:w="35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E94340" w14:textId="769D7FA9" w:rsidR="000A7613" w:rsidRPr="00B57B20" w:rsidRDefault="0035703F" w:rsidP="00B57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7B20">
              <w:rPr>
                <w:rFonts w:ascii="Arial" w:hAnsi="Arial" w:cs="Arial"/>
                <w:color w:val="010000"/>
                <w:sz w:val="20"/>
              </w:rPr>
              <w:t>Remuneration of The Board of Directors and the Supervisory Board’s members</w:t>
            </w:r>
          </w:p>
        </w:tc>
        <w:tc>
          <w:tcPr>
            <w:tcW w:w="11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C5B62E" w14:textId="77777777" w:rsidR="000A7613" w:rsidRPr="00B57B20" w:rsidRDefault="0035703F" w:rsidP="00B57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7B20">
              <w:rPr>
                <w:rFonts w:ascii="Arial" w:hAnsi="Arial" w:cs="Arial"/>
                <w:color w:val="010000"/>
                <w:sz w:val="20"/>
              </w:rPr>
              <w:t>1,377,600,0001</w:t>
            </w:r>
          </w:p>
        </w:tc>
      </w:tr>
      <w:tr w:rsidR="000A7613" w:rsidRPr="00B57B20" w14:paraId="3A909FA9" w14:textId="77777777" w:rsidTr="00B57B20">
        <w:tc>
          <w:tcPr>
            <w:tcW w:w="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43C610" w14:textId="77777777" w:rsidR="000A7613" w:rsidRPr="00B57B20" w:rsidRDefault="0035703F" w:rsidP="00B57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7B20">
              <w:rPr>
                <w:rFonts w:ascii="Arial" w:hAnsi="Arial" w:cs="Arial"/>
                <w:color w:val="010000"/>
                <w:sz w:val="20"/>
              </w:rPr>
              <w:t>2.4</w:t>
            </w:r>
          </w:p>
        </w:tc>
        <w:tc>
          <w:tcPr>
            <w:tcW w:w="35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123B97" w14:textId="5BA6BD6C" w:rsidR="000A7613" w:rsidRPr="00B57B20" w:rsidRDefault="0035703F" w:rsidP="00B57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7B20">
              <w:rPr>
                <w:rFonts w:ascii="Arial" w:hAnsi="Arial" w:cs="Arial"/>
                <w:color w:val="010000"/>
                <w:sz w:val="20"/>
              </w:rPr>
              <w:t xml:space="preserve">Appropriation for bonus </w:t>
            </w:r>
            <w:r w:rsidR="007E0FCE">
              <w:rPr>
                <w:rFonts w:ascii="Arial" w:hAnsi="Arial" w:cs="Arial"/>
                <w:color w:val="010000"/>
                <w:sz w:val="20"/>
              </w:rPr>
              <w:t xml:space="preserve">for the Board of Directors, </w:t>
            </w:r>
            <w:r w:rsidRPr="00B57B20">
              <w:rPr>
                <w:rFonts w:ascii="Arial" w:hAnsi="Arial" w:cs="Arial"/>
                <w:color w:val="010000"/>
                <w:sz w:val="20"/>
              </w:rPr>
              <w:t>Supervisory Boar</w:t>
            </w:r>
            <w:r w:rsidR="007E0FCE">
              <w:rPr>
                <w:rFonts w:ascii="Arial" w:hAnsi="Arial" w:cs="Arial"/>
                <w:color w:val="010000"/>
                <w:sz w:val="20"/>
              </w:rPr>
              <w:t xml:space="preserve">d (Chief + Members) and </w:t>
            </w:r>
            <w:r w:rsidRPr="00B57B20">
              <w:rPr>
                <w:rFonts w:ascii="Arial" w:hAnsi="Arial" w:cs="Arial"/>
                <w:color w:val="010000"/>
                <w:sz w:val="20"/>
              </w:rPr>
              <w:t>Executive Board</w:t>
            </w:r>
          </w:p>
        </w:tc>
        <w:tc>
          <w:tcPr>
            <w:tcW w:w="11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84D94A" w14:textId="77777777" w:rsidR="000A7613" w:rsidRPr="00B57B20" w:rsidRDefault="0035703F" w:rsidP="00B57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7B20">
              <w:rPr>
                <w:rFonts w:ascii="Arial" w:hAnsi="Arial" w:cs="Arial"/>
                <w:color w:val="010000"/>
                <w:sz w:val="20"/>
              </w:rPr>
              <w:t>948,929,994</w:t>
            </w:r>
          </w:p>
        </w:tc>
      </w:tr>
      <w:tr w:rsidR="000A7613" w:rsidRPr="00B57B20" w14:paraId="7487CA48" w14:textId="77777777" w:rsidTr="00B57B20">
        <w:tc>
          <w:tcPr>
            <w:tcW w:w="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49DD93" w14:textId="77777777" w:rsidR="000A7613" w:rsidRPr="00B57B20" w:rsidRDefault="000A7613" w:rsidP="00B57B20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5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C63FAD" w14:textId="44305503" w:rsidR="000A7613" w:rsidRPr="00B57B20" w:rsidRDefault="0035703F" w:rsidP="00B57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7B20">
              <w:rPr>
                <w:rFonts w:ascii="Arial" w:hAnsi="Arial" w:cs="Arial"/>
                <w:color w:val="010000"/>
                <w:sz w:val="20"/>
              </w:rPr>
              <w:t>+ Bonus for the Board of Direc</w:t>
            </w:r>
            <w:r w:rsidR="007E0FCE">
              <w:rPr>
                <w:rFonts w:ascii="Arial" w:hAnsi="Arial" w:cs="Arial"/>
                <w:color w:val="010000"/>
                <w:sz w:val="20"/>
              </w:rPr>
              <w:t>tors and Supervisory Board (</w:t>
            </w:r>
            <w:r w:rsidRPr="00B57B20">
              <w:rPr>
                <w:rFonts w:ascii="Arial" w:hAnsi="Arial" w:cs="Arial"/>
                <w:color w:val="010000"/>
                <w:sz w:val="20"/>
              </w:rPr>
              <w:t xml:space="preserve"> Chief</w:t>
            </w:r>
            <w:r w:rsidR="007E0FCE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B57B20">
              <w:rPr>
                <w:rFonts w:ascii="Arial" w:hAnsi="Arial" w:cs="Arial"/>
                <w:color w:val="010000"/>
                <w:sz w:val="20"/>
              </w:rPr>
              <w:t>+</w:t>
            </w:r>
            <w:r w:rsidR="007E0FCE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B57B20">
              <w:rPr>
                <w:rFonts w:ascii="Arial" w:hAnsi="Arial" w:cs="Arial"/>
                <w:color w:val="010000"/>
                <w:sz w:val="20"/>
              </w:rPr>
              <w:t>Members)</w:t>
            </w:r>
          </w:p>
        </w:tc>
        <w:tc>
          <w:tcPr>
            <w:tcW w:w="11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857936" w14:textId="77777777" w:rsidR="000A7613" w:rsidRPr="00B57B20" w:rsidRDefault="0035703F" w:rsidP="00B57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7B20">
              <w:rPr>
                <w:rFonts w:ascii="Arial" w:hAnsi="Arial" w:cs="Arial"/>
                <w:color w:val="010000"/>
                <w:sz w:val="20"/>
              </w:rPr>
              <w:t>494,646,661</w:t>
            </w:r>
          </w:p>
        </w:tc>
      </w:tr>
      <w:tr w:rsidR="000A7613" w:rsidRPr="00B57B20" w14:paraId="18AECC9E" w14:textId="77777777" w:rsidTr="00B57B20">
        <w:tc>
          <w:tcPr>
            <w:tcW w:w="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682FCF" w14:textId="77777777" w:rsidR="000A7613" w:rsidRPr="00B57B20" w:rsidRDefault="000A7613" w:rsidP="00B57B20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5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FED138" w14:textId="77777777" w:rsidR="000A7613" w:rsidRPr="00B57B20" w:rsidRDefault="0035703F" w:rsidP="00B57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7B20">
              <w:rPr>
                <w:rFonts w:ascii="Arial" w:hAnsi="Arial" w:cs="Arial"/>
                <w:color w:val="010000"/>
                <w:sz w:val="20"/>
              </w:rPr>
              <w:t>+ Bonus for the Executive Board</w:t>
            </w:r>
          </w:p>
        </w:tc>
        <w:tc>
          <w:tcPr>
            <w:tcW w:w="11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AD33F4" w14:textId="77777777" w:rsidR="000A7613" w:rsidRPr="00B57B20" w:rsidRDefault="0035703F" w:rsidP="00B57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7B20">
              <w:rPr>
                <w:rFonts w:ascii="Arial" w:hAnsi="Arial" w:cs="Arial"/>
                <w:color w:val="010000"/>
                <w:sz w:val="20"/>
              </w:rPr>
              <w:t>454,283,333</w:t>
            </w:r>
          </w:p>
        </w:tc>
      </w:tr>
      <w:tr w:rsidR="000A7613" w:rsidRPr="00B57B20" w14:paraId="62120792" w14:textId="77777777" w:rsidTr="00B57B20">
        <w:tc>
          <w:tcPr>
            <w:tcW w:w="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EC8CFD" w14:textId="77777777" w:rsidR="000A7613" w:rsidRPr="00B57B20" w:rsidRDefault="0035703F" w:rsidP="00B57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7B20">
              <w:rPr>
                <w:rFonts w:ascii="Arial" w:hAnsi="Arial" w:cs="Arial"/>
                <w:color w:val="010000"/>
                <w:sz w:val="20"/>
              </w:rPr>
              <w:t>2.5</w:t>
            </w:r>
          </w:p>
        </w:tc>
        <w:tc>
          <w:tcPr>
            <w:tcW w:w="35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E9733F" w14:textId="77777777" w:rsidR="000A7613" w:rsidRPr="00B57B20" w:rsidRDefault="0035703F" w:rsidP="00B57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7B20">
              <w:rPr>
                <w:rFonts w:ascii="Arial" w:hAnsi="Arial" w:cs="Arial"/>
                <w:color w:val="010000"/>
                <w:sz w:val="20"/>
              </w:rPr>
              <w:t>The remaining profit to distribute dividend (2)-(2.1)-(2.2)-(2.3)-(2.4)</w:t>
            </w:r>
          </w:p>
        </w:tc>
        <w:tc>
          <w:tcPr>
            <w:tcW w:w="11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F6E73D" w14:textId="77777777" w:rsidR="000A7613" w:rsidRPr="00B57B20" w:rsidRDefault="0035703F" w:rsidP="00B57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7B20">
              <w:rPr>
                <w:rFonts w:ascii="Arial" w:hAnsi="Arial" w:cs="Arial"/>
                <w:color w:val="010000"/>
                <w:sz w:val="20"/>
              </w:rPr>
              <w:t>40,188,000,000</w:t>
            </w:r>
          </w:p>
        </w:tc>
      </w:tr>
      <w:tr w:rsidR="000A7613" w:rsidRPr="00B57B20" w14:paraId="0A8DF480" w14:textId="77777777" w:rsidTr="00B57B20">
        <w:tc>
          <w:tcPr>
            <w:tcW w:w="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B958E8" w14:textId="77777777" w:rsidR="000A7613" w:rsidRPr="00B57B20" w:rsidRDefault="0035703F" w:rsidP="00B57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7B20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35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94B990" w14:textId="77777777" w:rsidR="000A7613" w:rsidRPr="00B57B20" w:rsidRDefault="0035703F" w:rsidP="00B57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7B20">
              <w:rPr>
                <w:rFonts w:ascii="Arial" w:hAnsi="Arial" w:cs="Arial"/>
                <w:color w:val="010000"/>
                <w:sz w:val="20"/>
              </w:rPr>
              <w:t>Dividend payment rate/charter capital (%)=(2.5)/charter capital</w:t>
            </w:r>
          </w:p>
        </w:tc>
        <w:tc>
          <w:tcPr>
            <w:tcW w:w="11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9F97C3" w14:textId="77777777" w:rsidR="000A7613" w:rsidRPr="00B57B20" w:rsidRDefault="0035703F" w:rsidP="00B57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7B20">
              <w:rPr>
                <w:rFonts w:ascii="Arial" w:hAnsi="Arial" w:cs="Arial"/>
                <w:color w:val="010000"/>
                <w:sz w:val="20"/>
              </w:rPr>
              <w:t>5.10</w:t>
            </w:r>
          </w:p>
        </w:tc>
      </w:tr>
    </w:tbl>
    <w:p w14:paraId="02E9921E" w14:textId="3CD4C746" w:rsidR="000A7613" w:rsidRPr="00B57B20" w:rsidRDefault="0035703F" w:rsidP="007E0F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57B20">
        <w:rPr>
          <w:rFonts w:ascii="Arial" w:hAnsi="Arial" w:cs="Arial"/>
          <w:color w:val="010000"/>
          <w:sz w:val="20"/>
        </w:rPr>
        <w:t>Suggest dividend payment rate, time and form of dividend payment 2023</w:t>
      </w:r>
    </w:p>
    <w:p w14:paraId="5597448A" w14:textId="77777777" w:rsidR="000A7613" w:rsidRPr="00B57B20" w:rsidRDefault="0035703F" w:rsidP="007E0FC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57B20">
        <w:rPr>
          <w:rFonts w:ascii="Arial" w:hAnsi="Arial" w:cs="Arial"/>
          <w:color w:val="010000"/>
          <w:sz w:val="20"/>
        </w:rPr>
        <w:t>Suggest dividend payment rate 2023: 5.10% of charter capital.</w:t>
      </w:r>
    </w:p>
    <w:p w14:paraId="272D5274" w14:textId="6A3B5944" w:rsidR="000A7613" w:rsidRPr="00B57B20" w:rsidRDefault="0035703F" w:rsidP="007E0FC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57B20">
        <w:rPr>
          <w:rFonts w:ascii="Arial" w:hAnsi="Arial" w:cs="Arial"/>
          <w:color w:val="010000"/>
          <w:sz w:val="20"/>
        </w:rPr>
        <w:t>Time of the dividend payment: in October 2024 (expected).</w:t>
      </w:r>
    </w:p>
    <w:p w14:paraId="10C10156" w14:textId="49BE18EC" w:rsidR="000A7613" w:rsidRPr="00B57B20" w:rsidRDefault="0035703F" w:rsidP="007E0FC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57B20">
        <w:rPr>
          <w:rFonts w:ascii="Arial" w:hAnsi="Arial" w:cs="Arial"/>
          <w:color w:val="010000"/>
          <w:sz w:val="20"/>
        </w:rPr>
        <w:t>Dividend 2023 will be paid in cash.</w:t>
      </w:r>
    </w:p>
    <w:p w14:paraId="575D07DF" w14:textId="6AEE3A0D" w:rsidR="000A7613" w:rsidRPr="00B57B20" w:rsidRDefault="0035703F" w:rsidP="007E0F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65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57B20">
        <w:rPr>
          <w:rFonts w:ascii="Arial" w:hAnsi="Arial" w:cs="Arial"/>
          <w:color w:val="010000"/>
          <w:sz w:val="20"/>
        </w:rPr>
        <w:t>Proposal No. 9: Remuneration settlement report</w:t>
      </w:r>
      <w:r w:rsidR="007E0FCE">
        <w:rPr>
          <w:rFonts w:ascii="Arial" w:hAnsi="Arial" w:cs="Arial"/>
          <w:color w:val="010000"/>
          <w:sz w:val="20"/>
        </w:rPr>
        <w:t xml:space="preserve"> for the Board of Directors, Supervisory Board and </w:t>
      </w:r>
      <w:r w:rsidRPr="00B57B20">
        <w:rPr>
          <w:rFonts w:ascii="Arial" w:hAnsi="Arial" w:cs="Arial"/>
          <w:color w:val="010000"/>
          <w:sz w:val="20"/>
        </w:rPr>
        <w:t>C</w:t>
      </w:r>
      <w:r w:rsidR="007E0FCE">
        <w:rPr>
          <w:rFonts w:ascii="Arial" w:hAnsi="Arial" w:cs="Arial"/>
          <w:color w:val="010000"/>
          <w:sz w:val="20"/>
        </w:rPr>
        <w:t xml:space="preserve">hief of the Supervisory Board in </w:t>
      </w:r>
      <w:r w:rsidRPr="00B57B20">
        <w:rPr>
          <w:rFonts w:ascii="Arial" w:hAnsi="Arial" w:cs="Arial"/>
          <w:color w:val="010000"/>
          <w:sz w:val="20"/>
        </w:rPr>
        <w:t>2023 and Remuneration settlement plan for the Board of Directors</w:t>
      </w:r>
      <w:r w:rsidR="007E0FCE">
        <w:rPr>
          <w:rFonts w:ascii="Arial" w:hAnsi="Arial" w:cs="Arial"/>
          <w:color w:val="010000"/>
          <w:sz w:val="20"/>
        </w:rPr>
        <w:t xml:space="preserve">, Supervisory Board and </w:t>
      </w:r>
      <w:r w:rsidRPr="00B57B20">
        <w:rPr>
          <w:rFonts w:ascii="Arial" w:hAnsi="Arial" w:cs="Arial"/>
          <w:color w:val="010000"/>
          <w:sz w:val="20"/>
        </w:rPr>
        <w:t>Chief of the Su</w:t>
      </w:r>
      <w:r w:rsidR="007E0FCE">
        <w:rPr>
          <w:rFonts w:ascii="Arial" w:hAnsi="Arial" w:cs="Arial"/>
          <w:color w:val="010000"/>
          <w:sz w:val="20"/>
        </w:rPr>
        <w:t>pervisory Board in</w:t>
      </w:r>
      <w:bookmarkStart w:id="0" w:name="_GoBack"/>
      <w:bookmarkEnd w:id="0"/>
      <w:r w:rsidRPr="00B57B20">
        <w:rPr>
          <w:rFonts w:ascii="Arial" w:hAnsi="Arial" w:cs="Arial"/>
          <w:color w:val="010000"/>
          <w:sz w:val="20"/>
        </w:rPr>
        <w:t xml:space="preserve"> 2024. </w:t>
      </w:r>
    </w:p>
    <w:p w14:paraId="2703E8BB" w14:textId="6957D973" w:rsidR="000A7613" w:rsidRPr="00B57B20" w:rsidRDefault="0035703F" w:rsidP="007E0F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7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57B20">
        <w:rPr>
          <w:rFonts w:ascii="Arial" w:hAnsi="Arial" w:cs="Arial"/>
          <w:color w:val="010000"/>
          <w:sz w:val="20"/>
        </w:rPr>
        <w:t xml:space="preserve">Proposal No. 10: Application for divestment at joint ventures: Di Linh Water Supply and Construction Joint Stock Company and Duc </w:t>
      </w:r>
      <w:proofErr w:type="spellStart"/>
      <w:r w:rsidRPr="00B57B20">
        <w:rPr>
          <w:rFonts w:ascii="Arial" w:hAnsi="Arial" w:cs="Arial"/>
          <w:color w:val="010000"/>
          <w:sz w:val="20"/>
        </w:rPr>
        <w:t>Trong</w:t>
      </w:r>
      <w:proofErr w:type="spellEnd"/>
      <w:r w:rsidRPr="00B57B20">
        <w:rPr>
          <w:rFonts w:ascii="Arial" w:hAnsi="Arial" w:cs="Arial"/>
          <w:color w:val="010000"/>
          <w:sz w:val="20"/>
        </w:rPr>
        <w:t xml:space="preserve"> Supply Sewerage and Construction Joint Stock Company. </w:t>
      </w:r>
    </w:p>
    <w:p w14:paraId="5C0404EE" w14:textId="7A61ADCB" w:rsidR="000A7613" w:rsidRPr="00B57B20" w:rsidRDefault="0035703F" w:rsidP="007E0FC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57B20">
        <w:rPr>
          <w:rFonts w:ascii="Arial" w:hAnsi="Arial" w:cs="Arial"/>
          <w:color w:val="010000"/>
          <w:sz w:val="20"/>
        </w:rPr>
        <w:t>‎‎Article 2. This General Mandate takes effect on April 22, 2024.</w:t>
      </w:r>
    </w:p>
    <w:p w14:paraId="213E04BE" w14:textId="3DC5FB43" w:rsidR="000A7613" w:rsidRPr="00B57B20" w:rsidRDefault="0035703F" w:rsidP="007E0FC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57B20">
        <w:rPr>
          <w:rFonts w:ascii="Arial" w:hAnsi="Arial" w:cs="Arial"/>
          <w:color w:val="010000"/>
          <w:sz w:val="20"/>
        </w:rPr>
        <w:t xml:space="preserve">‎‎Article 3. The Annual </w:t>
      </w:r>
      <w:r w:rsidR="007E0FCE">
        <w:rPr>
          <w:rFonts w:ascii="Arial" w:hAnsi="Arial" w:cs="Arial"/>
          <w:color w:val="010000"/>
          <w:sz w:val="20"/>
        </w:rPr>
        <w:t>General Meeting</w:t>
      </w:r>
      <w:r w:rsidRPr="00B57B20">
        <w:rPr>
          <w:rFonts w:ascii="Arial" w:hAnsi="Arial" w:cs="Arial"/>
          <w:color w:val="010000"/>
          <w:sz w:val="20"/>
        </w:rPr>
        <w:t xml:space="preserve"> 2024 of Lam Dong Water Supply </w:t>
      </w:r>
      <w:proofErr w:type="gramStart"/>
      <w:r w:rsidRPr="00B57B20">
        <w:rPr>
          <w:rFonts w:ascii="Arial" w:hAnsi="Arial" w:cs="Arial"/>
          <w:color w:val="010000"/>
          <w:sz w:val="20"/>
        </w:rPr>
        <w:t>And</w:t>
      </w:r>
      <w:proofErr w:type="gramEnd"/>
      <w:r w:rsidRPr="00B57B20">
        <w:rPr>
          <w:rFonts w:ascii="Arial" w:hAnsi="Arial" w:cs="Arial"/>
          <w:color w:val="010000"/>
          <w:sz w:val="20"/>
        </w:rPr>
        <w:t xml:space="preserve"> Sewerage Company Ltd approves assigning the Board of Directors to successfully organize and direct contents included in this General Mandate. </w:t>
      </w:r>
    </w:p>
    <w:sectPr w:rsidR="000A7613" w:rsidRPr="00B57B20" w:rsidSect="00B57B20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3757A"/>
    <w:multiLevelType w:val="multilevel"/>
    <w:tmpl w:val="05AAAE42"/>
    <w:lvl w:ilvl="0">
      <w:start w:val="1"/>
      <w:numFmt w:val="bullet"/>
      <w:lvlText w:val="●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104992"/>
    <w:multiLevelType w:val="multilevel"/>
    <w:tmpl w:val="D1343372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1EE10A0"/>
    <w:multiLevelType w:val="multilevel"/>
    <w:tmpl w:val="AB1A98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6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A0F6171"/>
    <w:multiLevelType w:val="multilevel"/>
    <w:tmpl w:val="9D2627D0"/>
    <w:lvl w:ilvl="0"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ACC3FAF"/>
    <w:multiLevelType w:val="multilevel"/>
    <w:tmpl w:val="A510E29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0590E0F"/>
    <w:multiLevelType w:val="multilevel"/>
    <w:tmpl w:val="B6F09620"/>
    <w:lvl w:ilvl="0">
      <w:start w:val="1"/>
      <w:numFmt w:val="bullet"/>
      <w:lvlText w:val="●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1064F78"/>
    <w:multiLevelType w:val="multilevel"/>
    <w:tmpl w:val="49B8860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13"/>
    <w:rsid w:val="000A7613"/>
    <w:rsid w:val="0035703F"/>
    <w:rsid w:val="007E0FCE"/>
    <w:rsid w:val="00B5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E9042E"/>
  <w15:docId w15:val="{F7D4382F-1184-447A-8205-0B410C14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06268"/>
      <w:sz w:val="28"/>
      <w:szCs w:val="2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4"/>
      <w:szCs w:val="14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06268"/>
      <w:sz w:val="36"/>
      <w:szCs w:val="3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262525"/>
      <w:w w:val="6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6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ind w:firstLine="2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1">
    <w:name w:val="Heading #2"/>
    <w:basedOn w:val="Normal"/>
    <w:link w:val="Heading20"/>
    <w:pPr>
      <w:spacing w:line="259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C06268"/>
      <w:sz w:val="28"/>
      <w:szCs w:val="28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FF0000"/>
      <w:sz w:val="14"/>
      <w:szCs w:val="14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color w:val="C06268"/>
      <w:sz w:val="36"/>
      <w:szCs w:val="3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pPr>
      <w:ind w:firstLine="2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Normal"/>
    <w:link w:val="Bodytext4"/>
    <w:pPr>
      <w:spacing w:line="226" w:lineRule="auto"/>
      <w:ind w:left="8220" w:firstLine="20"/>
    </w:pPr>
    <w:rPr>
      <w:rFonts w:ascii="Arial" w:eastAsia="Arial" w:hAnsi="Arial" w:cs="Arial"/>
      <w:b/>
      <w:bCs/>
      <w:color w:val="262525"/>
      <w:w w:val="6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u/+cHH/KOdYCUv104XGsU/yMCA==">CgMxLjA4AHIhMVlVd3lUMXhDTlZkSjFONDF1OUZadW40dEh5MTZFc09x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2024-05-02T03:28:00Z</dcterms:created>
  <dcterms:modified xsi:type="dcterms:W3CDTF">2024-05-02T03:28:00Z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cb4decc493dd2bd95e7fdeddba5b58b75309d4b4a4d0277b94b9172cb190c133</vt:lpwstr>
  </property>
</Properties>
</file>