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C633" w14:textId="6A1D0D4E" w:rsidR="003A35AB" w:rsidRDefault="00CD1B59" w:rsidP="00C15E32">
      <w:pPr>
        <w:tabs>
          <w:tab w:val="left" w:pos="432"/>
        </w:tabs>
        <w:spacing w:after="120" w:line="360" w:lineRule="auto"/>
        <w:jc w:val="both"/>
        <w:rPr>
          <w:rFonts w:ascii="Arial" w:eastAsia="Arial" w:hAnsi="Arial" w:cs="Arial"/>
          <w:b/>
          <w:sz w:val="20"/>
          <w:szCs w:val="20"/>
        </w:rPr>
      </w:pPr>
      <w:r>
        <w:rPr>
          <w:rFonts w:ascii="Arial" w:hAnsi="Arial"/>
          <w:b/>
          <w:sz w:val="20"/>
        </w:rPr>
        <w:t xml:space="preserve">PCH: </w:t>
      </w:r>
      <w:r w:rsidR="00B0632A">
        <w:rPr>
          <w:rFonts w:ascii="Arial" w:hAnsi="Arial" w:cs="Arial"/>
          <w:b/>
          <w:bCs/>
          <w:color w:val="auto"/>
          <w:sz w:val="20"/>
          <w:szCs w:val="20"/>
          <w:lang w:val="vi-VN"/>
        </w:rPr>
        <w:t>Board Resolution</w:t>
      </w:r>
    </w:p>
    <w:p w14:paraId="38E7124F" w14:textId="271122EE" w:rsidR="003A35AB" w:rsidRPr="00C80F57" w:rsidRDefault="00CD1B59" w:rsidP="00C15E32">
      <w:pPr>
        <w:tabs>
          <w:tab w:val="left" w:pos="432"/>
        </w:tabs>
        <w:spacing w:after="120" w:line="360" w:lineRule="auto"/>
        <w:jc w:val="both"/>
        <w:rPr>
          <w:rFonts w:asciiTheme="minorHAnsi" w:eastAsia="Arial" w:hAnsiTheme="minorHAnsi" w:cstheme="minorHAnsi"/>
          <w:sz w:val="20"/>
          <w:szCs w:val="20"/>
        </w:rPr>
      </w:pPr>
      <w:r w:rsidRPr="00C80F57">
        <w:rPr>
          <w:rFonts w:asciiTheme="minorHAnsi" w:hAnsiTheme="minorHAnsi" w:cstheme="minorHAnsi"/>
          <w:sz w:val="20"/>
          <w:szCs w:val="20"/>
        </w:rPr>
        <w:t xml:space="preserve">On </w:t>
      </w:r>
      <w:r w:rsidR="00C80F57" w:rsidRPr="00C80F57">
        <w:rPr>
          <w:rFonts w:asciiTheme="minorHAnsi" w:hAnsiTheme="minorHAnsi" w:cstheme="minorHAnsi"/>
          <w:sz w:val="20"/>
          <w:szCs w:val="20"/>
        </w:rPr>
        <w:t>April 22, 2024</w:t>
      </w:r>
      <w:r w:rsidRPr="00C80F57">
        <w:rPr>
          <w:rFonts w:asciiTheme="minorHAnsi" w:hAnsiTheme="minorHAnsi" w:cstheme="minorHAnsi"/>
          <w:sz w:val="20"/>
          <w:szCs w:val="20"/>
        </w:rPr>
        <w:t xml:space="preserve">, </w:t>
      </w:r>
      <w:r w:rsidR="00C80F57" w:rsidRPr="00C80F57">
        <w:rPr>
          <w:rFonts w:asciiTheme="minorHAnsi" w:hAnsiTheme="minorHAnsi" w:cstheme="minorHAnsi"/>
          <w:sz w:val="20"/>
          <w:szCs w:val="20"/>
        </w:rPr>
        <w:t>Picomat Plastic Joint Stock Company</w:t>
      </w:r>
      <w:r w:rsidR="00C80F57">
        <w:rPr>
          <w:rFonts w:asciiTheme="minorHAnsi" w:hAnsiTheme="minorHAnsi" w:cstheme="minorHAnsi"/>
          <w:sz w:val="20"/>
          <w:szCs w:val="20"/>
        </w:rPr>
        <w:t xml:space="preserve"> </w:t>
      </w:r>
      <w:r w:rsidRPr="00C80F57">
        <w:rPr>
          <w:rFonts w:asciiTheme="minorHAnsi" w:hAnsiTheme="minorHAnsi" w:cstheme="minorHAnsi"/>
          <w:sz w:val="20"/>
          <w:szCs w:val="20"/>
        </w:rPr>
        <w:t>announced Resolution No. 06/2024/Q</w:t>
      </w:r>
      <w:r w:rsidR="00C80F57">
        <w:rPr>
          <w:rFonts w:asciiTheme="minorHAnsi" w:hAnsiTheme="minorHAnsi" w:cstheme="minorHAnsi"/>
          <w:sz w:val="20"/>
          <w:szCs w:val="20"/>
        </w:rPr>
        <w:t>D</w:t>
      </w:r>
      <w:r w:rsidRPr="00C80F57">
        <w:rPr>
          <w:rFonts w:asciiTheme="minorHAnsi" w:hAnsiTheme="minorHAnsi" w:cstheme="minorHAnsi"/>
          <w:sz w:val="20"/>
          <w:szCs w:val="20"/>
        </w:rPr>
        <w:t>-HDQT as follows:</w:t>
      </w:r>
    </w:p>
    <w:p w14:paraId="13B629AF" w14:textId="3903E019" w:rsidR="003A35AB" w:rsidRDefault="00CD1B59" w:rsidP="00C15E32">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1: Approve the </w:t>
      </w:r>
      <w:r w:rsidR="00C80F57">
        <w:rPr>
          <w:rFonts w:ascii="Arial" w:hAnsi="Arial"/>
          <w:sz w:val="20"/>
        </w:rPr>
        <w:t>implementation</w:t>
      </w:r>
      <w:r>
        <w:rPr>
          <w:rFonts w:ascii="Arial" w:hAnsi="Arial"/>
          <w:sz w:val="20"/>
        </w:rPr>
        <w:t xml:space="preserve"> of the plan on share issuance to pay dividends by shares to existing shareholders according to General Mandate No. 01/202</w:t>
      </w:r>
      <w:r w:rsidR="00C80F57">
        <w:rPr>
          <w:rFonts w:ascii="Arial" w:hAnsi="Arial"/>
          <w:sz w:val="20"/>
        </w:rPr>
        <w:t>4</w:t>
      </w:r>
      <w:r>
        <w:rPr>
          <w:rFonts w:ascii="Arial" w:hAnsi="Arial"/>
          <w:sz w:val="20"/>
        </w:rPr>
        <w:t>/NQ-DHDCD dated April 15, 2024 of the Annual General Meeting of Shareholde</w:t>
      </w:r>
      <w:bookmarkStart w:id="0" w:name="_GoBack"/>
      <w:bookmarkEnd w:id="0"/>
      <w:r>
        <w:rPr>
          <w:rFonts w:ascii="Arial" w:hAnsi="Arial"/>
          <w:sz w:val="20"/>
        </w:rPr>
        <w:t>rs 202</w:t>
      </w:r>
      <w:r w:rsidR="00C80F57">
        <w:rPr>
          <w:rFonts w:ascii="Arial" w:hAnsi="Arial"/>
          <w:sz w:val="20"/>
        </w:rPr>
        <w:t>4</w:t>
      </w:r>
      <w:r>
        <w:rPr>
          <w:rFonts w:ascii="Arial" w:hAnsi="Arial"/>
          <w:sz w:val="20"/>
        </w:rPr>
        <w:t xml:space="preserve"> of Picomat Plastic Joint Stock Company, specifically as follows:</w:t>
      </w:r>
    </w:p>
    <w:p w14:paraId="7B16A818" w14:textId="092EB18F" w:rsidR="00CD1B59" w:rsidRPr="00CD1B59" w:rsidRDefault="00CD1B59" w:rsidP="00C15E32">
      <w:pPr>
        <w:pStyle w:val="ListParagraph"/>
        <w:numPr>
          <w:ilvl w:val="0"/>
          <w:numId w:val="3"/>
        </w:numPr>
        <w:pBdr>
          <w:top w:val="nil"/>
          <w:left w:val="nil"/>
          <w:bottom w:val="nil"/>
          <w:right w:val="nil"/>
          <w:between w:val="nil"/>
        </w:pBdr>
        <w:tabs>
          <w:tab w:val="left" w:pos="432"/>
          <w:tab w:val="left" w:pos="3610"/>
        </w:tabs>
        <w:spacing w:after="120" w:line="360" w:lineRule="auto"/>
        <w:ind w:left="0" w:firstLine="0"/>
        <w:contextualSpacing w:val="0"/>
        <w:jc w:val="both"/>
        <w:rPr>
          <w:rFonts w:ascii="Arial" w:eastAsia="Arial" w:hAnsi="Arial" w:cs="Arial"/>
          <w:sz w:val="20"/>
          <w:szCs w:val="20"/>
        </w:rPr>
      </w:pPr>
      <w:r>
        <w:rPr>
          <w:rFonts w:ascii="Arial" w:hAnsi="Arial"/>
          <w:sz w:val="20"/>
        </w:rPr>
        <w:t>Share name: Shares of Picomat Plastic Joint Stock Company</w:t>
      </w:r>
    </w:p>
    <w:p w14:paraId="2F3B9B9A" w14:textId="45FB4F0B" w:rsidR="00CD1B59" w:rsidRPr="00CD1B59" w:rsidRDefault="00CD1B59" w:rsidP="00C15E32">
      <w:pPr>
        <w:pStyle w:val="ListParagraph"/>
        <w:numPr>
          <w:ilvl w:val="0"/>
          <w:numId w:val="3"/>
        </w:numPr>
        <w:pBdr>
          <w:top w:val="nil"/>
          <w:left w:val="nil"/>
          <w:bottom w:val="nil"/>
          <w:right w:val="nil"/>
          <w:between w:val="nil"/>
        </w:pBdr>
        <w:tabs>
          <w:tab w:val="left" w:pos="432"/>
          <w:tab w:val="left" w:pos="3610"/>
        </w:tabs>
        <w:spacing w:after="120" w:line="360" w:lineRule="auto"/>
        <w:ind w:left="0" w:firstLine="0"/>
        <w:contextualSpacing w:val="0"/>
        <w:jc w:val="both"/>
        <w:rPr>
          <w:rFonts w:ascii="Arial" w:eastAsia="Arial" w:hAnsi="Arial" w:cs="Arial"/>
          <w:sz w:val="20"/>
          <w:szCs w:val="20"/>
        </w:rPr>
      </w:pPr>
      <w:r>
        <w:rPr>
          <w:rFonts w:ascii="Arial" w:hAnsi="Arial"/>
          <w:sz w:val="20"/>
        </w:rPr>
        <w:t>Share type: Common share</w:t>
      </w:r>
    </w:p>
    <w:p w14:paraId="1CCD3897" w14:textId="03EC020A" w:rsidR="00CD1B59" w:rsidRPr="00CD1B59" w:rsidRDefault="00CD1B59" w:rsidP="00C15E32">
      <w:pPr>
        <w:pStyle w:val="ListParagraph"/>
        <w:numPr>
          <w:ilvl w:val="0"/>
          <w:numId w:val="3"/>
        </w:numPr>
        <w:pBdr>
          <w:top w:val="nil"/>
          <w:left w:val="nil"/>
          <w:bottom w:val="nil"/>
          <w:right w:val="nil"/>
          <w:between w:val="nil"/>
        </w:pBdr>
        <w:tabs>
          <w:tab w:val="left" w:pos="432"/>
          <w:tab w:val="left" w:pos="3610"/>
        </w:tabs>
        <w:spacing w:after="120" w:line="360" w:lineRule="auto"/>
        <w:ind w:left="0" w:firstLine="0"/>
        <w:contextualSpacing w:val="0"/>
        <w:jc w:val="both"/>
        <w:rPr>
          <w:rFonts w:ascii="Arial" w:eastAsia="Arial" w:hAnsi="Arial" w:cs="Arial"/>
          <w:sz w:val="20"/>
          <w:szCs w:val="20"/>
        </w:rPr>
      </w:pPr>
      <w:r>
        <w:rPr>
          <w:rFonts w:ascii="Arial" w:hAnsi="Arial"/>
          <w:sz w:val="20"/>
        </w:rPr>
        <w:t>Par value: VND 10,000/share.</w:t>
      </w:r>
    </w:p>
    <w:p w14:paraId="0800C3F0" w14:textId="57E6FB9F" w:rsidR="00CD1B59" w:rsidRPr="00CD1B59" w:rsidRDefault="00CD1B59" w:rsidP="00C15E32">
      <w:pPr>
        <w:pStyle w:val="ListParagraph"/>
        <w:numPr>
          <w:ilvl w:val="0"/>
          <w:numId w:val="3"/>
        </w:numPr>
        <w:pBdr>
          <w:top w:val="nil"/>
          <w:left w:val="nil"/>
          <w:bottom w:val="nil"/>
          <w:right w:val="nil"/>
          <w:between w:val="nil"/>
        </w:pBdr>
        <w:tabs>
          <w:tab w:val="left" w:pos="432"/>
          <w:tab w:val="left" w:pos="3610"/>
        </w:tabs>
        <w:spacing w:after="120" w:line="360" w:lineRule="auto"/>
        <w:ind w:left="0" w:firstLine="0"/>
        <w:contextualSpacing w:val="0"/>
        <w:jc w:val="both"/>
        <w:rPr>
          <w:rFonts w:ascii="Arial" w:eastAsia="Arial" w:hAnsi="Arial" w:cs="Arial"/>
          <w:sz w:val="20"/>
          <w:szCs w:val="20"/>
        </w:rPr>
      </w:pPr>
      <w:r>
        <w:rPr>
          <w:rFonts w:ascii="Arial" w:hAnsi="Arial"/>
          <w:sz w:val="20"/>
        </w:rPr>
        <w:t>Number of issued shares: 21,999,990 shares</w:t>
      </w:r>
      <w:r>
        <w:rPr>
          <w:rFonts w:ascii="Arial" w:hAnsi="Arial"/>
          <w:sz w:val="20"/>
        </w:rPr>
        <w:tab/>
      </w:r>
    </w:p>
    <w:p w14:paraId="70F84B37" w14:textId="175A1B51" w:rsidR="00CD1B59" w:rsidRPr="00CD1B59" w:rsidRDefault="00CD1B59" w:rsidP="00C15E32">
      <w:pPr>
        <w:pStyle w:val="ListParagraph"/>
        <w:numPr>
          <w:ilvl w:val="0"/>
          <w:numId w:val="4"/>
        </w:numPr>
        <w:pBdr>
          <w:top w:val="nil"/>
          <w:left w:val="nil"/>
          <w:bottom w:val="nil"/>
          <w:right w:val="nil"/>
          <w:between w:val="nil"/>
        </w:pBdr>
        <w:tabs>
          <w:tab w:val="left" w:pos="432"/>
          <w:tab w:val="left" w:pos="6067"/>
        </w:tabs>
        <w:spacing w:after="120" w:line="360" w:lineRule="auto"/>
        <w:ind w:left="0" w:firstLine="0"/>
        <w:contextualSpacing w:val="0"/>
        <w:jc w:val="both"/>
        <w:rPr>
          <w:rFonts w:ascii="Arial" w:eastAsia="Arial" w:hAnsi="Arial" w:cs="Arial"/>
          <w:sz w:val="20"/>
          <w:szCs w:val="20"/>
        </w:rPr>
      </w:pPr>
      <w:r>
        <w:rPr>
          <w:rFonts w:ascii="Arial" w:hAnsi="Arial"/>
          <w:sz w:val="20"/>
        </w:rPr>
        <w:t>Number of treasury shares: 0 share.</w:t>
      </w:r>
    </w:p>
    <w:p w14:paraId="708C3F24" w14:textId="76D69E55" w:rsidR="00CD1B59" w:rsidRPr="00CD1B59" w:rsidRDefault="00CD1B59" w:rsidP="00C15E32">
      <w:pPr>
        <w:pStyle w:val="ListParagraph"/>
        <w:numPr>
          <w:ilvl w:val="0"/>
          <w:numId w:val="4"/>
        </w:numPr>
        <w:pBdr>
          <w:top w:val="nil"/>
          <w:left w:val="nil"/>
          <w:bottom w:val="nil"/>
          <w:right w:val="nil"/>
          <w:between w:val="nil"/>
        </w:pBdr>
        <w:tabs>
          <w:tab w:val="left" w:pos="432"/>
          <w:tab w:val="left" w:pos="6067"/>
        </w:tabs>
        <w:spacing w:after="120" w:line="360" w:lineRule="auto"/>
        <w:ind w:left="0" w:firstLine="0"/>
        <w:contextualSpacing w:val="0"/>
        <w:jc w:val="both"/>
        <w:rPr>
          <w:rFonts w:ascii="Arial" w:eastAsia="Arial" w:hAnsi="Arial" w:cs="Arial"/>
          <w:sz w:val="20"/>
          <w:szCs w:val="20"/>
        </w:rPr>
      </w:pPr>
      <w:r>
        <w:rPr>
          <w:rFonts w:ascii="Arial" w:hAnsi="Arial"/>
          <w:sz w:val="20"/>
        </w:rPr>
        <w:t>Number of outstanding shares: 21,999,990 shares</w:t>
      </w:r>
    </w:p>
    <w:p w14:paraId="5AF65228" w14:textId="60DF1A83" w:rsidR="00CD1B59" w:rsidRPr="00CD1B59" w:rsidRDefault="00CD1B59" w:rsidP="00C15E32">
      <w:pPr>
        <w:pStyle w:val="ListParagraph"/>
        <w:numPr>
          <w:ilvl w:val="0"/>
          <w:numId w:val="5"/>
        </w:numPr>
        <w:pBdr>
          <w:top w:val="nil"/>
          <w:left w:val="nil"/>
          <w:bottom w:val="nil"/>
          <w:right w:val="nil"/>
          <w:between w:val="nil"/>
        </w:pBdr>
        <w:tabs>
          <w:tab w:val="left" w:pos="432"/>
          <w:tab w:val="left" w:pos="6067"/>
        </w:tabs>
        <w:spacing w:after="120" w:line="360" w:lineRule="auto"/>
        <w:ind w:left="0" w:firstLine="0"/>
        <w:contextualSpacing w:val="0"/>
        <w:jc w:val="both"/>
        <w:rPr>
          <w:rFonts w:ascii="Arial" w:eastAsia="Arial" w:hAnsi="Arial" w:cs="Arial"/>
          <w:sz w:val="20"/>
          <w:szCs w:val="20"/>
        </w:rPr>
      </w:pPr>
      <w:r>
        <w:rPr>
          <w:rFonts w:ascii="Arial" w:hAnsi="Arial"/>
          <w:sz w:val="20"/>
        </w:rPr>
        <w:t>Number of shares expected to be issued:  2,199,999 shares</w:t>
      </w:r>
      <w:r>
        <w:rPr>
          <w:rFonts w:ascii="Arial" w:hAnsi="Arial"/>
          <w:sz w:val="20"/>
        </w:rPr>
        <w:tab/>
      </w:r>
    </w:p>
    <w:p w14:paraId="36BAA033" w14:textId="4E2864BE" w:rsidR="00CD1B59" w:rsidRPr="00CD1B59" w:rsidRDefault="00CD1B59" w:rsidP="00C15E32">
      <w:pPr>
        <w:pStyle w:val="ListParagraph"/>
        <w:numPr>
          <w:ilvl w:val="0"/>
          <w:numId w:val="5"/>
        </w:numPr>
        <w:pBdr>
          <w:top w:val="nil"/>
          <w:left w:val="nil"/>
          <w:bottom w:val="nil"/>
          <w:right w:val="nil"/>
          <w:between w:val="nil"/>
        </w:pBdr>
        <w:tabs>
          <w:tab w:val="left" w:pos="432"/>
          <w:tab w:val="left" w:pos="3610"/>
        </w:tabs>
        <w:spacing w:after="120" w:line="360" w:lineRule="auto"/>
        <w:ind w:left="0" w:firstLine="0"/>
        <w:contextualSpacing w:val="0"/>
        <w:jc w:val="both"/>
        <w:rPr>
          <w:rFonts w:ascii="Arial" w:eastAsia="Arial" w:hAnsi="Arial" w:cs="Arial"/>
          <w:sz w:val="20"/>
          <w:szCs w:val="20"/>
        </w:rPr>
      </w:pPr>
      <w:r>
        <w:rPr>
          <w:rFonts w:ascii="Arial" w:hAnsi="Arial"/>
          <w:sz w:val="20"/>
        </w:rPr>
        <w:t>Total expected issued value (</w:t>
      </w:r>
      <w:r w:rsidR="00C80F57">
        <w:rPr>
          <w:rFonts w:ascii="Arial" w:hAnsi="Arial"/>
          <w:sz w:val="20"/>
        </w:rPr>
        <w:t>at</w:t>
      </w:r>
      <w:r>
        <w:rPr>
          <w:rFonts w:ascii="Arial" w:hAnsi="Arial"/>
          <w:sz w:val="20"/>
        </w:rPr>
        <w:t xml:space="preserve"> par value)</w:t>
      </w:r>
      <w:r>
        <w:rPr>
          <w:rFonts w:ascii="Arial" w:hAnsi="Arial"/>
          <w:sz w:val="20"/>
        </w:rPr>
        <w:tab/>
        <w:t xml:space="preserve">VND 21,999,990,000 </w:t>
      </w:r>
    </w:p>
    <w:p w14:paraId="30A08BEF" w14:textId="74751C06" w:rsidR="00CD1B59" w:rsidRPr="00CD1B59" w:rsidRDefault="00CD1B59" w:rsidP="00C15E32">
      <w:pPr>
        <w:pStyle w:val="ListParagraph"/>
        <w:numPr>
          <w:ilvl w:val="0"/>
          <w:numId w:val="5"/>
        </w:numPr>
        <w:pBdr>
          <w:top w:val="nil"/>
          <w:left w:val="nil"/>
          <w:bottom w:val="nil"/>
          <w:right w:val="nil"/>
          <w:between w:val="nil"/>
        </w:pBdr>
        <w:tabs>
          <w:tab w:val="left" w:pos="432"/>
          <w:tab w:val="left" w:pos="3610"/>
        </w:tabs>
        <w:spacing w:after="120" w:line="360" w:lineRule="auto"/>
        <w:ind w:left="0" w:firstLine="0"/>
        <w:contextualSpacing w:val="0"/>
        <w:jc w:val="both"/>
        <w:rPr>
          <w:rFonts w:ascii="Arial" w:eastAsia="Arial" w:hAnsi="Arial" w:cs="Arial"/>
          <w:sz w:val="20"/>
          <w:szCs w:val="20"/>
        </w:rPr>
      </w:pPr>
      <w:r>
        <w:rPr>
          <w:rFonts w:ascii="Arial" w:hAnsi="Arial"/>
          <w:sz w:val="20"/>
        </w:rPr>
        <w:t>Eligible buyers: Existing shareholders whose names are in the recorded list of shareholders exercising the rights to receive dividends by shares, provided by the Vietnam Securities Depository (VSDC).</w:t>
      </w:r>
    </w:p>
    <w:p w14:paraId="1A252DA3" w14:textId="5D649548" w:rsidR="00CD1B59" w:rsidRPr="00CD1B59" w:rsidRDefault="00CD1B59" w:rsidP="00C15E32">
      <w:pPr>
        <w:pStyle w:val="ListParagraph"/>
        <w:numPr>
          <w:ilvl w:val="0"/>
          <w:numId w:val="5"/>
        </w:numPr>
        <w:pBdr>
          <w:top w:val="nil"/>
          <w:left w:val="nil"/>
          <w:bottom w:val="nil"/>
          <w:right w:val="nil"/>
          <w:between w:val="nil"/>
        </w:pBdr>
        <w:tabs>
          <w:tab w:val="left" w:pos="432"/>
          <w:tab w:val="left" w:pos="3610"/>
        </w:tabs>
        <w:spacing w:after="120" w:line="360" w:lineRule="auto"/>
        <w:ind w:left="0" w:firstLine="0"/>
        <w:contextualSpacing w:val="0"/>
        <w:jc w:val="both"/>
        <w:rPr>
          <w:rFonts w:ascii="Arial" w:eastAsia="Arial" w:hAnsi="Arial" w:cs="Arial"/>
          <w:sz w:val="20"/>
          <w:szCs w:val="20"/>
        </w:rPr>
      </w:pPr>
      <w:r>
        <w:rPr>
          <w:rFonts w:ascii="Arial" w:hAnsi="Arial"/>
          <w:sz w:val="20"/>
        </w:rPr>
        <w:t xml:space="preserve">Issuance method: Dividends will be distributed </w:t>
      </w:r>
      <w:r w:rsidR="00C80F57">
        <w:rPr>
          <w:rFonts w:ascii="Arial" w:hAnsi="Arial"/>
          <w:sz w:val="20"/>
        </w:rPr>
        <w:t>in</w:t>
      </w:r>
      <w:r>
        <w:rPr>
          <w:rFonts w:ascii="Arial" w:hAnsi="Arial"/>
          <w:sz w:val="20"/>
        </w:rPr>
        <w:t xml:space="preserve"> the form of exercising rights.</w:t>
      </w:r>
    </w:p>
    <w:p w14:paraId="785FF873" w14:textId="464726D5" w:rsidR="003A35AB" w:rsidRPr="00CD1B59" w:rsidRDefault="00CD1B59" w:rsidP="00C15E32">
      <w:pPr>
        <w:pStyle w:val="ListParagraph"/>
        <w:numPr>
          <w:ilvl w:val="0"/>
          <w:numId w:val="5"/>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sz w:val="20"/>
          <w:szCs w:val="20"/>
        </w:rPr>
      </w:pPr>
      <w:r>
        <w:rPr>
          <w:rFonts w:ascii="Arial" w:hAnsi="Arial"/>
          <w:sz w:val="20"/>
        </w:rPr>
        <w:t xml:space="preserve">Source of capital for implementation: </w:t>
      </w:r>
      <w:r w:rsidR="00C80F57">
        <w:rPr>
          <w:rFonts w:ascii="Arial" w:hAnsi="Arial"/>
          <w:sz w:val="20"/>
        </w:rPr>
        <w:t>Accumulated u</w:t>
      </w:r>
      <w:r>
        <w:rPr>
          <w:rFonts w:ascii="Arial" w:hAnsi="Arial"/>
          <w:sz w:val="20"/>
        </w:rPr>
        <w:t>ndistributed profit after tax as of December 31, 2023, as stated in the Audited Consolidated Financial Statements 2023 of the Company, specifically as follows:</w:t>
      </w:r>
    </w:p>
    <w:p w14:paraId="14CB5E9F" w14:textId="456D12E4" w:rsidR="003A35AB" w:rsidRDefault="00CD1B59" w:rsidP="00C15E32">
      <w:pPr>
        <w:numPr>
          <w:ilvl w:val="0"/>
          <w:numId w:val="2"/>
        </w:numPr>
        <w:pBdr>
          <w:top w:val="nil"/>
          <w:left w:val="nil"/>
          <w:bottom w:val="nil"/>
          <w:right w:val="nil"/>
          <w:between w:val="nil"/>
        </w:pBdr>
        <w:tabs>
          <w:tab w:val="left" w:pos="270"/>
          <w:tab w:val="left" w:pos="432"/>
        </w:tabs>
        <w:spacing w:after="120" w:line="360" w:lineRule="auto"/>
        <w:ind w:left="0" w:firstLine="0"/>
        <w:jc w:val="both"/>
        <w:rPr>
          <w:rFonts w:ascii="Arial" w:eastAsia="Arial" w:hAnsi="Arial" w:cs="Arial"/>
          <w:sz w:val="20"/>
          <w:szCs w:val="20"/>
        </w:rPr>
      </w:pPr>
      <w:r>
        <w:rPr>
          <w:rFonts w:ascii="Arial" w:hAnsi="Arial"/>
          <w:sz w:val="20"/>
        </w:rPr>
        <w:t>Undistributed profit after tax as stated in the Audited Consolidated Financial Statements 2023</w:t>
      </w:r>
      <w:r w:rsidR="00C80F57">
        <w:rPr>
          <w:rFonts w:ascii="Arial" w:hAnsi="Arial"/>
          <w:sz w:val="20"/>
        </w:rPr>
        <w:t xml:space="preserve">: </w:t>
      </w:r>
      <w:r>
        <w:rPr>
          <w:rFonts w:ascii="Arial" w:hAnsi="Arial"/>
          <w:sz w:val="20"/>
        </w:rPr>
        <w:t>VND 22,988,922,492</w:t>
      </w:r>
      <w:r w:rsidR="00C80F57">
        <w:rPr>
          <w:rFonts w:ascii="Arial" w:hAnsi="Arial"/>
          <w:sz w:val="20"/>
        </w:rPr>
        <w:t>. (*)</w:t>
      </w:r>
    </w:p>
    <w:p w14:paraId="58F9C391" w14:textId="44A4C9F5" w:rsidR="003A35AB" w:rsidRDefault="00CD1B59" w:rsidP="00C15E32">
      <w:pPr>
        <w:numPr>
          <w:ilvl w:val="0"/>
          <w:numId w:val="2"/>
        </w:numPr>
        <w:pBdr>
          <w:top w:val="nil"/>
          <w:left w:val="nil"/>
          <w:bottom w:val="nil"/>
          <w:right w:val="nil"/>
          <w:between w:val="nil"/>
        </w:pBdr>
        <w:tabs>
          <w:tab w:val="left" w:pos="270"/>
          <w:tab w:val="left" w:pos="432"/>
        </w:tabs>
        <w:spacing w:after="120" w:line="360" w:lineRule="auto"/>
        <w:ind w:left="0" w:firstLine="0"/>
        <w:jc w:val="both"/>
        <w:rPr>
          <w:rFonts w:ascii="Arial" w:eastAsia="Arial" w:hAnsi="Arial" w:cs="Arial"/>
          <w:sz w:val="20"/>
          <w:szCs w:val="20"/>
        </w:rPr>
      </w:pPr>
      <w:r>
        <w:rPr>
          <w:rFonts w:ascii="Arial" w:hAnsi="Arial"/>
          <w:sz w:val="20"/>
        </w:rPr>
        <w:t>The profit which is used for paying dividends by shares at the rate of 10% according to the plan approved by the Annual General Meeting of Shareholders 2024 on April 15, 2024, is: VND 21,999,990,000.</w:t>
      </w:r>
      <w:r w:rsidR="00CF3E99">
        <w:rPr>
          <w:rFonts w:ascii="Arial" w:hAnsi="Arial"/>
          <w:sz w:val="20"/>
        </w:rPr>
        <w:t xml:space="preserve"> </w:t>
      </w:r>
      <w:r>
        <w:rPr>
          <w:rFonts w:ascii="Arial" w:hAnsi="Arial"/>
          <w:sz w:val="20"/>
        </w:rPr>
        <w:t>(**)</w:t>
      </w:r>
    </w:p>
    <w:p w14:paraId="00D0684C" w14:textId="352AB68E" w:rsidR="003A35AB" w:rsidRDefault="00CD1B59" w:rsidP="00C15E32">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Undistributed profit after tax (after deductions for the amount stated at Item (**)) is VND 988,932,492;</w:t>
      </w:r>
    </w:p>
    <w:p w14:paraId="563DDE2F" w14:textId="510500E0" w:rsidR="003A35AB" w:rsidRPr="00CD1B59" w:rsidRDefault="00CF3E99" w:rsidP="00C15E32">
      <w:pPr>
        <w:pStyle w:val="ListParagraph"/>
        <w:numPr>
          <w:ilvl w:val="0"/>
          <w:numId w:val="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sz w:val="20"/>
          <w:szCs w:val="20"/>
        </w:rPr>
      </w:pPr>
      <w:r>
        <w:rPr>
          <w:rFonts w:ascii="Arial" w:hAnsi="Arial"/>
          <w:sz w:val="20"/>
        </w:rPr>
        <w:t>E</w:t>
      </w:r>
      <w:r w:rsidR="00CD1B59">
        <w:rPr>
          <w:rFonts w:ascii="Arial" w:hAnsi="Arial"/>
          <w:sz w:val="20"/>
        </w:rPr>
        <w:t xml:space="preserve">xercise rate: 10% of the number of outstanding shares at the record date for the list of shareholders exercising rights, which is equivalent to the exercise rate of 100:10 (at the record date for the list of shareholders, shareholders will receive 10 additional </w:t>
      </w:r>
      <w:r>
        <w:rPr>
          <w:rFonts w:ascii="Arial" w:hAnsi="Arial"/>
          <w:sz w:val="20"/>
        </w:rPr>
        <w:t xml:space="preserve">issued </w:t>
      </w:r>
      <w:r w:rsidR="00CD1B59">
        <w:rPr>
          <w:rFonts w:ascii="Arial" w:hAnsi="Arial"/>
          <w:sz w:val="20"/>
        </w:rPr>
        <w:t>shares for every 100 shares they own.)</w:t>
      </w:r>
    </w:p>
    <w:p w14:paraId="1E81A238" w14:textId="47FF7B79" w:rsidR="003A35AB" w:rsidRPr="00CD1B59" w:rsidRDefault="00CD1B59" w:rsidP="00C15E32">
      <w:pPr>
        <w:pStyle w:val="ListParagraph"/>
        <w:numPr>
          <w:ilvl w:val="0"/>
          <w:numId w:val="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sz w:val="20"/>
          <w:szCs w:val="20"/>
        </w:rPr>
      </w:pPr>
      <w:r>
        <w:rPr>
          <w:rFonts w:ascii="Arial" w:hAnsi="Arial"/>
          <w:sz w:val="20"/>
        </w:rPr>
        <w:t>Principles of rounding and handling arising fractional shares: After multiplying by the issue rate, the number of issued shares will be rounded down to the unit, the decimal part (if any) will be cancelled.</w:t>
      </w:r>
    </w:p>
    <w:p w14:paraId="6E3907EC" w14:textId="4DB4CC0B" w:rsidR="003A35AB" w:rsidRDefault="00CD1B59" w:rsidP="00C15E32">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lastRenderedPageBreak/>
        <w:t xml:space="preserve">For example: Shareholder A owns 1,025 shares, the number of shares received is temporarily calculated as 1,025 * 0.1 = 102.5 shares. Based on the above principal, the number of </w:t>
      </w:r>
      <w:r w:rsidR="00CF3E99">
        <w:rPr>
          <w:rFonts w:ascii="Arial" w:hAnsi="Arial"/>
          <w:sz w:val="20"/>
        </w:rPr>
        <w:t>new</w:t>
      </w:r>
      <w:r>
        <w:rPr>
          <w:rFonts w:ascii="Arial" w:hAnsi="Arial"/>
          <w:sz w:val="20"/>
        </w:rPr>
        <w:t xml:space="preserve"> shares that shareholder A receives is 102 shares, while the fractional shares (0.5 shares) will be </w:t>
      </w:r>
      <w:r w:rsidR="00CF3E99">
        <w:rPr>
          <w:rFonts w:ascii="Arial" w:hAnsi="Arial"/>
          <w:sz w:val="20"/>
        </w:rPr>
        <w:t>cancelled</w:t>
      </w:r>
      <w:r>
        <w:rPr>
          <w:rFonts w:ascii="Arial" w:hAnsi="Arial"/>
          <w:sz w:val="20"/>
        </w:rPr>
        <w:t>.</w:t>
      </w:r>
    </w:p>
    <w:p w14:paraId="1CF1D0D0" w14:textId="77777777" w:rsidR="003A35AB" w:rsidRPr="00CD1B59" w:rsidRDefault="00CD1B59" w:rsidP="00C15E32">
      <w:pPr>
        <w:pStyle w:val="ListParagraph"/>
        <w:numPr>
          <w:ilvl w:val="0"/>
          <w:numId w:val="7"/>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sz w:val="20"/>
          <w:szCs w:val="20"/>
        </w:rPr>
      </w:pPr>
      <w:r>
        <w:rPr>
          <w:rFonts w:ascii="Arial" w:hAnsi="Arial"/>
          <w:sz w:val="20"/>
        </w:rPr>
        <w:t>Transfer restriction: Additional shares issued to existing shareholders are not restricted to transfer.</w:t>
      </w:r>
    </w:p>
    <w:p w14:paraId="03E47A95" w14:textId="4B4DAAB6" w:rsidR="003A35AB" w:rsidRPr="00CD1B59" w:rsidRDefault="00CD1B59" w:rsidP="00C15E32">
      <w:pPr>
        <w:pStyle w:val="ListParagraph"/>
        <w:numPr>
          <w:ilvl w:val="0"/>
          <w:numId w:val="7"/>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sz w:val="20"/>
          <w:szCs w:val="20"/>
        </w:rPr>
      </w:pPr>
      <w:r>
        <w:rPr>
          <w:rFonts w:ascii="Arial" w:hAnsi="Arial"/>
          <w:sz w:val="20"/>
        </w:rPr>
        <w:t>Distribution method: For deposited shares: Owners implement the procedures to receive dividends at the securities Companies where deposited accounts were opened.</w:t>
      </w:r>
    </w:p>
    <w:p w14:paraId="6F3F5063" w14:textId="4421C944" w:rsidR="003A35AB" w:rsidRDefault="00CD1B59" w:rsidP="00C15E32">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For undeposited securities: Owners </w:t>
      </w:r>
      <w:r w:rsidR="00CF3E99">
        <w:rPr>
          <w:rFonts w:ascii="Arial" w:hAnsi="Arial"/>
          <w:sz w:val="20"/>
        </w:rPr>
        <w:t>carry out the</w:t>
      </w:r>
      <w:r>
        <w:rPr>
          <w:rFonts w:ascii="Arial" w:hAnsi="Arial"/>
          <w:sz w:val="20"/>
        </w:rPr>
        <w:t xml:space="preserve"> procedures to receive dividend at Picomat Plastic Joint Stock Company, Address: Floor 1, CT3B Building, No. 10 Thang Long Avenue</w:t>
      </w:r>
      <w:r w:rsidR="00CF3E99">
        <w:rPr>
          <w:rFonts w:ascii="Arial" w:hAnsi="Arial"/>
          <w:sz w:val="20"/>
        </w:rPr>
        <w:t>,</w:t>
      </w:r>
      <w:r>
        <w:rPr>
          <w:rFonts w:ascii="Arial" w:hAnsi="Arial"/>
          <w:sz w:val="20"/>
        </w:rPr>
        <w:t xml:space="preserve"> Me Tri Ward Nam Tu Liem District, Ha Noi in working </w:t>
      </w:r>
      <w:r w:rsidR="00CF3E99">
        <w:rPr>
          <w:rFonts w:ascii="Arial" w:hAnsi="Arial"/>
          <w:sz w:val="20"/>
        </w:rPr>
        <w:t>days</w:t>
      </w:r>
      <w:r>
        <w:rPr>
          <w:rFonts w:ascii="Arial" w:hAnsi="Arial"/>
          <w:sz w:val="20"/>
        </w:rPr>
        <w:t>. When coming to receive dividend, shareholders present ID Card/citizen identification card and shares Ownership Certificate.</w:t>
      </w:r>
    </w:p>
    <w:p w14:paraId="6AFBD0E3" w14:textId="77777777" w:rsidR="003A35AB" w:rsidRPr="00CD1B59" w:rsidRDefault="00CD1B59" w:rsidP="00C15E32">
      <w:pPr>
        <w:pStyle w:val="ListParagraph"/>
        <w:numPr>
          <w:ilvl w:val="0"/>
          <w:numId w:val="8"/>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sz w:val="20"/>
          <w:szCs w:val="20"/>
        </w:rPr>
      </w:pPr>
      <w:r>
        <w:rPr>
          <w:rFonts w:ascii="Arial" w:hAnsi="Arial"/>
          <w:sz w:val="20"/>
        </w:rPr>
        <w:t>Issue time: From July 2024 to November 2024, after being approved by the State Securities Commission of Vietnam.</w:t>
      </w:r>
    </w:p>
    <w:p w14:paraId="59897618" w14:textId="51D7A625" w:rsidR="003A35AB" w:rsidRPr="00CD1B59" w:rsidRDefault="00CD1B59" w:rsidP="00C15E32">
      <w:pPr>
        <w:pStyle w:val="ListParagraph"/>
        <w:numPr>
          <w:ilvl w:val="0"/>
          <w:numId w:val="8"/>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sz w:val="20"/>
          <w:szCs w:val="20"/>
        </w:rPr>
      </w:pPr>
      <w:r>
        <w:rPr>
          <w:rFonts w:ascii="Arial" w:hAnsi="Arial"/>
          <w:sz w:val="20"/>
        </w:rPr>
        <w:t>Register and list additionally issued shares</w:t>
      </w:r>
      <w:r w:rsidR="00CF3E99">
        <w:rPr>
          <w:rFonts w:ascii="Arial" w:hAnsi="Arial"/>
          <w:sz w:val="20"/>
        </w:rPr>
        <w:t>:</w:t>
      </w:r>
      <w:r>
        <w:rPr>
          <w:rFonts w:ascii="Arial" w:hAnsi="Arial"/>
          <w:sz w:val="20"/>
        </w:rPr>
        <w:t xml:space="preserve"> The entire number of shares successfully issued will be registered for additional securities depository at VSDC and for additional listing at the Hanoi Stock Exchange.</w:t>
      </w:r>
    </w:p>
    <w:p w14:paraId="09846AA3" w14:textId="687B8792" w:rsidR="003A35AB" w:rsidRDefault="00CD1B59" w:rsidP="00C15E32">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2: Approve the assignment and authorization </w:t>
      </w:r>
      <w:r w:rsidR="00CF3E99">
        <w:rPr>
          <w:rFonts w:ascii="Arial" w:hAnsi="Arial"/>
          <w:sz w:val="20"/>
        </w:rPr>
        <w:t>to</w:t>
      </w:r>
      <w:r>
        <w:rPr>
          <w:rFonts w:ascii="Arial" w:hAnsi="Arial"/>
          <w:sz w:val="20"/>
        </w:rPr>
        <w:t xml:space="preserve"> the General Manager of the Company</w:t>
      </w:r>
    </w:p>
    <w:p w14:paraId="37FBA29E" w14:textId="77777777" w:rsidR="003A35AB" w:rsidRDefault="00CD1B59" w:rsidP="00C15E32">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The Board of Directors assigns/authorizes the General Manager to implement the following works: </w:t>
      </w:r>
    </w:p>
    <w:p w14:paraId="4B9A521A" w14:textId="7330BD13" w:rsidR="003A35AB" w:rsidRDefault="00CD1B59" w:rsidP="00C15E32">
      <w:pPr>
        <w:numPr>
          <w:ilvl w:val="0"/>
          <w:numId w:val="2"/>
        </w:numPr>
        <w:pBdr>
          <w:top w:val="nil"/>
          <w:left w:val="nil"/>
          <w:bottom w:val="nil"/>
          <w:right w:val="nil"/>
          <w:between w:val="nil"/>
        </w:pBdr>
        <w:tabs>
          <w:tab w:val="left" w:pos="360"/>
          <w:tab w:val="left" w:pos="432"/>
        </w:tabs>
        <w:spacing w:after="120" w:line="360" w:lineRule="auto"/>
        <w:ind w:left="0" w:firstLine="0"/>
        <w:jc w:val="both"/>
        <w:rPr>
          <w:rFonts w:ascii="Arial" w:eastAsia="Arial" w:hAnsi="Arial" w:cs="Arial"/>
          <w:sz w:val="20"/>
          <w:szCs w:val="20"/>
        </w:rPr>
      </w:pPr>
      <w:r>
        <w:rPr>
          <w:rFonts w:ascii="Arial" w:hAnsi="Arial"/>
          <w:sz w:val="20"/>
        </w:rPr>
        <w:t>Decide to supplement, complete</w:t>
      </w:r>
      <w:r w:rsidR="00CF3E99">
        <w:rPr>
          <w:rFonts w:ascii="Arial" w:hAnsi="Arial"/>
          <w:sz w:val="20"/>
        </w:rPr>
        <w:t>,</w:t>
      </w:r>
      <w:r>
        <w:rPr>
          <w:rFonts w:ascii="Arial" w:hAnsi="Arial"/>
          <w:sz w:val="20"/>
        </w:rPr>
        <w:t xml:space="preserve"> and detail the content of the a</w:t>
      </w:r>
      <w:r w:rsidR="00CF3E99">
        <w:rPr>
          <w:rFonts w:ascii="Arial" w:hAnsi="Arial"/>
          <w:sz w:val="20"/>
        </w:rPr>
        <w:t>fore</w:t>
      </w:r>
      <w:r>
        <w:rPr>
          <w:rFonts w:ascii="Arial" w:hAnsi="Arial"/>
          <w:sz w:val="20"/>
        </w:rPr>
        <w:t>mentioned plan on share issuance and/or amend, supplement the issuance plan when necessary to ensure a successful issuance;</w:t>
      </w:r>
    </w:p>
    <w:p w14:paraId="7A4C8CF4" w14:textId="4448803B" w:rsidR="003A35AB" w:rsidRDefault="00CF3E99" w:rsidP="00C15E32">
      <w:pPr>
        <w:numPr>
          <w:ilvl w:val="0"/>
          <w:numId w:val="2"/>
        </w:numPr>
        <w:pBdr>
          <w:top w:val="nil"/>
          <w:left w:val="nil"/>
          <w:bottom w:val="nil"/>
          <w:right w:val="nil"/>
          <w:between w:val="nil"/>
        </w:pBdr>
        <w:tabs>
          <w:tab w:val="left" w:pos="360"/>
          <w:tab w:val="left" w:pos="432"/>
        </w:tabs>
        <w:spacing w:after="120" w:line="360" w:lineRule="auto"/>
        <w:ind w:left="0" w:firstLine="0"/>
        <w:jc w:val="both"/>
        <w:rPr>
          <w:rFonts w:ascii="Arial" w:eastAsia="Arial" w:hAnsi="Arial" w:cs="Arial"/>
          <w:sz w:val="20"/>
          <w:szCs w:val="20"/>
        </w:rPr>
      </w:pPr>
      <w:r>
        <w:rPr>
          <w:rFonts w:ascii="Arial" w:hAnsi="Arial"/>
          <w:sz w:val="20"/>
        </w:rPr>
        <w:t>Carry out</w:t>
      </w:r>
      <w:r w:rsidR="00CD1B59">
        <w:rPr>
          <w:rFonts w:ascii="Arial" w:hAnsi="Arial"/>
          <w:sz w:val="20"/>
        </w:rPr>
        <w:t xml:space="preserve"> works/procedures related to the issuing</w:t>
      </w:r>
      <w:r>
        <w:rPr>
          <w:rFonts w:ascii="Arial" w:hAnsi="Arial"/>
          <w:sz w:val="20"/>
        </w:rPr>
        <w:t xml:space="preserve"> of</w:t>
      </w:r>
      <w:r w:rsidR="00CD1B59">
        <w:rPr>
          <w:rFonts w:ascii="Arial" w:hAnsi="Arial"/>
          <w:sz w:val="20"/>
        </w:rPr>
        <w:t xml:space="preserve"> shares in accordance with the provisions of the Company Charter and the law;</w:t>
      </w:r>
    </w:p>
    <w:p w14:paraId="65C860DA" w14:textId="58F8FC47" w:rsidR="003A35AB" w:rsidRDefault="00CD1B59" w:rsidP="00C15E32">
      <w:pPr>
        <w:numPr>
          <w:ilvl w:val="0"/>
          <w:numId w:val="2"/>
        </w:numPr>
        <w:pBdr>
          <w:top w:val="nil"/>
          <w:left w:val="nil"/>
          <w:bottom w:val="nil"/>
          <w:right w:val="nil"/>
          <w:between w:val="nil"/>
        </w:pBdr>
        <w:tabs>
          <w:tab w:val="left" w:pos="360"/>
          <w:tab w:val="left" w:pos="432"/>
        </w:tabs>
        <w:spacing w:after="120" w:line="360" w:lineRule="auto"/>
        <w:ind w:left="0" w:firstLine="0"/>
        <w:jc w:val="both"/>
        <w:rPr>
          <w:rFonts w:ascii="Arial" w:eastAsia="Arial" w:hAnsi="Arial" w:cs="Arial"/>
          <w:sz w:val="20"/>
          <w:szCs w:val="20"/>
        </w:rPr>
      </w:pPr>
      <w:r>
        <w:rPr>
          <w:rFonts w:ascii="Arial" w:hAnsi="Arial"/>
          <w:sz w:val="20"/>
        </w:rPr>
        <w:t>Carry out the necessary procedures related to the change of charter capital, the</w:t>
      </w:r>
      <w:r w:rsidR="00CF3E99">
        <w:rPr>
          <w:rFonts w:ascii="Arial" w:hAnsi="Arial"/>
          <w:sz w:val="20"/>
        </w:rPr>
        <w:t xml:space="preserve"> </w:t>
      </w:r>
      <w:r>
        <w:rPr>
          <w:rFonts w:ascii="Arial" w:hAnsi="Arial"/>
          <w:sz w:val="20"/>
        </w:rPr>
        <w:t xml:space="preserve">amendment/supplement to the </w:t>
      </w:r>
      <w:r w:rsidR="00CF3E99">
        <w:rPr>
          <w:rFonts w:ascii="Arial" w:hAnsi="Arial"/>
          <w:sz w:val="20"/>
        </w:rPr>
        <w:t>Articles</w:t>
      </w:r>
      <w:r>
        <w:rPr>
          <w:rFonts w:ascii="Arial" w:hAnsi="Arial"/>
          <w:sz w:val="20"/>
        </w:rPr>
        <w:t xml:space="preserve"> of charter capital in the Company’s Charter and to the Business Registration Certificate of the Company after the issuance of additional shares;</w:t>
      </w:r>
    </w:p>
    <w:p w14:paraId="533880E8" w14:textId="77777777" w:rsidR="003A35AB" w:rsidRDefault="00CD1B59" w:rsidP="00C15E32">
      <w:pPr>
        <w:numPr>
          <w:ilvl w:val="0"/>
          <w:numId w:val="2"/>
        </w:numPr>
        <w:pBdr>
          <w:top w:val="nil"/>
          <w:left w:val="nil"/>
          <w:bottom w:val="nil"/>
          <w:right w:val="nil"/>
          <w:between w:val="nil"/>
        </w:pBdr>
        <w:tabs>
          <w:tab w:val="left" w:pos="360"/>
          <w:tab w:val="left" w:pos="432"/>
        </w:tabs>
        <w:spacing w:after="120" w:line="360" w:lineRule="auto"/>
        <w:ind w:left="0" w:firstLine="0"/>
        <w:jc w:val="both"/>
        <w:rPr>
          <w:rFonts w:ascii="Arial" w:eastAsia="Arial" w:hAnsi="Arial" w:cs="Arial"/>
          <w:sz w:val="20"/>
          <w:szCs w:val="20"/>
        </w:rPr>
      </w:pPr>
      <w:r>
        <w:rPr>
          <w:rFonts w:ascii="Arial" w:hAnsi="Arial"/>
          <w:sz w:val="20"/>
        </w:rPr>
        <w:t>Decide and carry out other necessary issues related to the share issuance.</w:t>
      </w:r>
    </w:p>
    <w:p w14:paraId="39B62BD5" w14:textId="77777777" w:rsidR="003A35AB" w:rsidRDefault="00CD1B59" w:rsidP="00C15E32">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3: This Decision takes effect from the date of its signing. Members of the Board of Directors, the General Manager and relevant departments are responsible for the implementation of this Board Resolution.</w:t>
      </w:r>
    </w:p>
    <w:sectPr w:rsidR="003A35AB">
      <w:pgSz w:w="11906" w:h="16838"/>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467"/>
    <w:multiLevelType w:val="multilevel"/>
    <w:tmpl w:val="812CE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D03C8"/>
    <w:multiLevelType w:val="hybridMultilevel"/>
    <w:tmpl w:val="C0564F98"/>
    <w:lvl w:ilvl="0" w:tplc="042A0001">
      <w:start w:val="1"/>
      <w:numFmt w:val="bullet"/>
      <w:lvlText w:val=""/>
      <w:lvlJc w:val="left"/>
      <w:pPr>
        <w:ind w:left="730" w:hanging="360"/>
      </w:pPr>
      <w:rPr>
        <w:rFonts w:ascii="Symbol" w:hAnsi="Symbol" w:hint="default"/>
      </w:rPr>
    </w:lvl>
    <w:lvl w:ilvl="1" w:tplc="042A0003" w:tentative="1">
      <w:start w:val="1"/>
      <w:numFmt w:val="bullet"/>
      <w:lvlText w:val="o"/>
      <w:lvlJc w:val="left"/>
      <w:pPr>
        <w:ind w:left="1450" w:hanging="360"/>
      </w:pPr>
      <w:rPr>
        <w:rFonts w:ascii="Courier New" w:hAnsi="Courier New" w:cs="Courier New" w:hint="default"/>
      </w:rPr>
    </w:lvl>
    <w:lvl w:ilvl="2" w:tplc="042A0005" w:tentative="1">
      <w:start w:val="1"/>
      <w:numFmt w:val="bullet"/>
      <w:lvlText w:val=""/>
      <w:lvlJc w:val="left"/>
      <w:pPr>
        <w:ind w:left="2170" w:hanging="360"/>
      </w:pPr>
      <w:rPr>
        <w:rFonts w:ascii="Wingdings" w:hAnsi="Wingdings" w:hint="default"/>
      </w:rPr>
    </w:lvl>
    <w:lvl w:ilvl="3" w:tplc="042A0001" w:tentative="1">
      <w:start w:val="1"/>
      <w:numFmt w:val="bullet"/>
      <w:lvlText w:val=""/>
      <w:lvlJc w:val="left"/>
      <w:pPr>
        <w:ind w:left="2890" w:hanging="360"/>
      </w:pPr>
      <w:rPr>
        <w:rFonts w:ascii="Symbol" w:hAnsi="Symbol" w:hint="default"/>
      </w:rPr>
    </w:lvl>
    <w:lvl w:ilvl="4" w:tplc="042A0003" w:tentative="1">
      <w:start w:val="1"/>
      <w:numFmt w:val="bullet"/>
      <w:lvlText w:val="o"/>
      <w:lvlJc w:val="left"/>
      <w:pPr>
        <w:ind w:left="3610" w:hanging="360"/>
      </w:pPr>
      <w:rPr>
        <w:rFonts w:ascii="Courier New" w:hAnsi="Courier New" w:cs="Courier New" w:hint="default"/>
      </w:rPr>
    </w:lvl>
    <w:lvl w:ilvl="5" w:tplc="042A0005" w:tentative="1">
      <w:start w:val="1"/>
      <w:numFmt w:val="bullet"/>
      <w:lvlText w:val=""/>
      <w:lvlJc w:val="left"/>
      <w:pPr>
        <w:ind w:left="4330" w:hanging="360"/>
      </w:pPr>
      <w:rPr>
        <w:rFonts w:ascii="Wingdings" w:hAnsi="Wingdings" w:hint="default"/>
      </w:rPr>
    </w:lvl>
    <w:lvl w:ilvl="6" w:tplc="042A0001" w:tentative="1">
      <w:start w:val="1"/>
      <w:numFmt w:val="bullet"/>
      <w:lvlText w:val=""/>
      <w:lvlJc w:val="left"/>
      <w:pPr>
        <w:ind w:left="5050" w:hanging="360"/>
      </w:pPr>
      <w:rPr>
        <w:rFonts w:ascii="Symbol" w:hAnsi="Symbol" w:hint="default"/>
      </w:rPr>
    </w:lvl>
    <w:lvl w:ilvl="7" w:tplc="042A0003" w:tentative="1">
      <w:start w:val="1"/>
      <w:numFmt w:val="bullet"/>
      <w:lvlText w:val="o"/>
      <w:lvlJc w:val="left"/>
      <w:pPr>
        <w:ind w:left="5770" w:hanging="360"/>
      </w:pPr>
      <w:rPr>
        <w:rFonts w:ascii="Courier New" w:hAnsi="Courier New" w:cs="Courier New" w:hint="default"/>
      </w:rPr>
    </w:lvl>
    <w:lvl w:ilvl="8" w:tplc="042A0005" w:tentative="1">
      <w:start w:val="1"/>
      <w:numFmt w:val="bullet"/>
      <w:lvlText w:val=""/>
      <w:lvlJc w:val="left"/>
      <w:pPr>
        <w:ind w:left="6490" w:hanging="360"/>
      </w:pPr>
      <w:rPr>
        <w:rFonts w:ascii="Wingdings" w:hAnsi="Wingdings" w:hint="default"/>
      </w:rPr>
    </w:lvl>
  </w:abstractNum>
  <w:abstractNum w:abstractNumId="2" w15:restartNumberingAfterBreak="0">
    <w:nsid w:val="3951129F"/>
    <w:multiLevelType w:val="hybridMultilevel"/>
    <w:tmpl w:val="E1A637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CE64D3C"/>
    <w:multiLevelType w:val="multilevel"/>
    <w:tmpl w:val="7FD6B862"/>
    <w:lvl w:ilvl="0">
      <w:start w:val="2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C508EF"/>
    <w:multiLevelType w:val="hybridMultilevel"/>
    <w:tmpl w:val="E376E7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A5B17E2"/>
    <w:multiLevelType w:val="hybridMultilevel"/>
    <w:tmpl w:val="C41E4B08"/>
    <w:lvl w:ilvl="0" w:tplc="722A3ABC">
      <w:start w:val="1"/>
      <w:numFmt w:val="bullet"/>
      <w:lvlText w:val="-"/>
      <w:lvlJc w:val="left"/>
      <w:pPr>
        <w:ind w:left="720" w:hanging="360"/>
      </w:pPr>
      <w:rPr>
        <w:rFonts w:ascii="Arial" w:hAnsi="Arial" w:hint="default"/>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B4B5F13"/>
    <w:multiLevelType w:val="hybridMultilevel"/>
    <w:tmpl w:val="8AAC50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3CD49A4"/>
    <w:multiLevelType w:val="hybridMultilevel"/>
    <w:tmpl w:val="49EA1B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AB"/>
    <w:rsid w:val="003A35AB"/>
    <w:rsid w:val="00B0632A"/>
    <w:rsid w:val="00C15E32"/>
    <w:rsid w:val="00C80F57"/>
    <w:rsid w:val="00CD1B59"/>
    <w:rsid w:val="00CF3E9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5C836"/>
  <w15:docId w15:val="{97EEB8AF-46BE-4B19-8CEE-5416E6D0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E5374D"/>
      <w:w w:val="7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95" w:lineRule="auto"/>
    </w:pPr>
    <w:rPr>
      <w:rFonts w:ascii="Times New Roman" w:eastAsia="Times New Roman" w:hAnsi="Times New Roman" w:cs="Times New Roman"/>
    </w:rPr>
  </w:style>
  <w:style w:type="paragraph" w:customStyle="1" w:styleId="Bodytext20">
    <w:name w:val="Body text (2)"/>
    <w:basedOn w:val="Normal"/>
    <w:link w:val="Bodytext2"/>
    <w:rPr>
      <w:rFonts w:ascii="Arial" w:eastAsia="Arial" w:hAnsi="Arial" w:cs="Arial"/>
      <w:b/>
      <w:bCs/>
      <w:color w:val="E5374D"/>
      <w:w w:val="70"/>
      <w:sz w:val="22"/>
      <w:szCs w:val="22"/>
    </w:rPr>
  </w:style>
  <w:style w:type="paragraph" w:customStyle="1" w:styleId="Other0">
    <w:name w:val="Other"/>
    <w:basedOn w:val="Normal"/>
    <w:link w:val="Other"/>
    <w:pPr>
      <w:spacing w:line="295"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CD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btduyKn2ZfaAHr7ZIYw9soWUbg==">CgMxLjA4AHIhMTJzeWdWQ1dOak94SmVjUThyamRFVGRmRXpWS09OcVpf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2024-04-26T07:44:00Z</dcterms:created>
  <dcterms:modified xsi:type="dcterms:W3CDTF">2024-05-02T03:32:00Z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ff15ea0026e1539cb4858245680b36af75d39b5266d45a4e9ee113ae13616b34</vt:lpwstr>
  </property>
</Properties>
</file>