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9C931" w14:textId="77777777" w:rsidR="00790507" w:rsidRDefault="00AB7C2E">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Pr>
          <w:rFonts w:ascii="Arial" w:hAnsi="Arial"/>
          <w:b/>
          <w:color w:val="010000"/>
          <w:sz w:val="20"/>
        </w:rPr>
        <w:t>PEQ: Annual General Mandate 2024</w:t>
      </w:r>
    </w:p>
    <w:p w14:paraId="13883957" w14:textId="77777777" w:rsidR="00790507" w:rsidRDefault="00AB7C2E">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April 22, 2024, Petrolimex Equipment JSC announced General Mandate No. 185/NQ-TBXD-DHDCD as follows:</w:t>
      </w:r>
    </w:p>
    <w:p w14:paraId="6C0C7E98" w14:textId="77777777" w:rsidR="00790507" w:rsidRDefault="00AB7C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1. The Annual General Meeting of Shareholders in 2024 of Petrolimex Equipment JSC unanimously approved the following contents:</w:t>
      </w:r>
    </w:p>
    <w:p w14:paraId="36616BB4" w14:textId="77777777" w:rsidR="00790507" w:rsidRDefault="00AB7C2E">
      <w:pPr>
        <w:numPr>
          <w:ilvl w:val="0"/>
          <w:numId w:val="2"/>
        </w:numPr>
        <w:pBdr>
          <w:top w:val="nil"/>
          <w:left w:val="nil"/>
          <w:bottom w:val="nil"/>
          <w:right w:val="nil"/>
          <w:between w:val="nil"/>
        </w:pBdr>
        <w:tabs>
          <w:tab w:val="left" w:pos="432"/>
          <w:tab w:val="left" w:pos="1048"/>
        </w:tabs>
        <w:spacing w:after="120" w:line="360" w:lineRule="auto"/>
        <w:rPr>
          <w:rFonts w:ascii="Arial" w:eastAsia="Arial" w:hAnsi="Arial" w:cs="Arial"/>
          <w:color w:val="010000"/>
          <w:sz w:val="20"/>
          <w:szCs w:val="20"/>
        </w:rPr>
      </w:pPr>
      <w:r>
        <w:rPr>
          <w:rFonts w:ascii="Arial" w:hAnsi="Arial"/>
          <w:color w:val="010000"/>
          <w:sz w:val="20"/>
        </w:rPr>
        <w:t>Report on production and business results in 2023.</w:t>
      </w:r>
    </w:p>
    <w:p w14:paraId="526DB42D" w14:textId="77777777" w:rsidR="00790507" w:rsidRDefault="00AB7C2E">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Report on the activities of the Board of Directors in 2023 and the Company's Production and Business Plan for 2024, with the following basic targets:</w:t>
      </w:r>
    </w:p>
    <w:tbl>
      <w:tblPr>
        <w:tblStyle w:val="a"/>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
        <w:gridCol w:w="3308"/>
        <w:gridCol w:w="1694"/>
        <w:gridCol w:w="1697"/>
        <w:gridCol w:w="1679"/>
      </w:tblGrid>
      <w:tr w:rsidR="00790507" w14:paraId="27079140" w14:textId="77777777">
        <w:trPr>
          <w:jc w:val="center"/>
        </w:trPr>
        <w:tc>
          <w:tcPr>
            <w:tcW w:w="639" w:type="dxa"/>
            <w:shd w:val="clear" w:color="auto" w:fill="auto"/>
            <w:tcMar>
              <w:top w:w="0" w:type="dxa"/>
              <w:bottom w:w="0" w:type="dxa"/>
            </w:tcMar>
            <w:vAlign w:val="center"/>
          </w:tcPr>
          <w:p w14:paraId="55A60FBE"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ID Card/Citizen Identity Card No.</w:t>
            </w:r>
          </w:p>
          <w:p w14:paraId="5EB6CD5B"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308" w:type="dxa"/>
            <w:shd w:val="clear" w:color="auto" w:fill="auto"/>
            <w:tcMar>
              <w:top w:w="0" w:type="dxa"/>
              <w:bottom w:w="0" w:type="dxa"/>
            </w:tcMar>
            <w:vAlign w:val="center"/>
          </w:tcPr>
          <w:p w14:paraId="25F0F407"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Targets</w:t>
            </w:r>
          </w:p>
        </w:tc>
        <w:tc>
          <w:tcPr>
            <w:tcW w:w="1694" w:type="dxa"/>
            <w:shd w:val="clear" w:color="auto" w:fill="auto"/>
            <w:tcMar>
              <w:top w:w="0" w:type="dxa"/>
              <w:bottom w:w="0" w:type="dxa"/>
            </w:tcMar>
            <w:vAlign w:val="center"/>
          </w:tcPr>
          <w:p w14:paraId="27CE6D76"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1697" w:type="dxa"/>
            <w:shd w:val="clear" w:color="auto" w:fill="auto"/>
            <w:tcMar>
              <w:top w:w="0" w:type="dxa"/>
              <w:bottom w:w="0" w:type="dxa"/>
            </w:tcMar>
            <w:vAlign w:val="center"/>
          </w:tcPr>
          <w:p w14:paraId="354A1532"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2023 Result </w:t>
            </w:r>
          </w:p>
        </w:tc>
        <w:tc>
          <w:tcPr>
            <w:tcW w:w="1679" w:type="dxa"/>
            <w:shd w:val="clear" w:color="auto" w:fill="auto"/>
            <w:tcMar>
              <w:top w:w="0" w:type="dxa"/>
              <w:bottom w:w="0" w:type="dxa"/>
            </w:tcMar>
            <w:vAlign w:val="center"/>
          </w:tcPr>
          <w:p w14:paraId="761BE405"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2024 Plan </w:t>
            </w:r>
          </w:p>
        </w:tc>
      </w:tr>
      <w:tr w:rsidR="00790507" w14:paraId="4D3A4CD5" w14:textId="77777777">
        <w:trPr>
          <w:jc w:val="center"/>
        </w:trPr>
        <w:tc>
          <w:tcPr>
            <w:tcW w:w="639" w:type="dxa"/>
            <w:shd w:val="clear" w:color="auto" w:fill="auto"/>
            <w:tcMar>
              <w:top w:w="0" w:type="dxa"/>
              <w:bottom w:w="0" w:type="dxa"/>
            </w:tcMar>
            <w:vAlign w:val="center"/>
          </w:tcPr>
          <w:p w14:paraId="685BFA6C"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308" w:type="dxa"/>
            <w:shd w:val="clear" w:color="auto" w:fill="auto"/>
            <w:tcMar>
              <w:top w:w="0" w:type="dxa"/>
              <w:bottom w:w="0" w:type="dxa"/>
            </w:tcMar>
            <w:vAlign w:val="center"/>
          </w:tcPr>
          <w:p w14:paraId="2BA2E797" w14:textId="77777777" w:rsidR="00790507" w:rsidRDefault="00AB7C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w:t>
            </w:r>
          </w:p>
        </w:tc>
        <w:tc>
          <w:tcPr>
            <w:tcW w:w="1694" w:type="dxa"/>
            <w:shd w:val="clear" w:color="auto" w:fill="auto"/>
            <w:tcMar>
              <w:top w:w="0" w:type="dxa"/>
              <w:bottom w:w="0" w:type="dxa"/>
            </w:tcMar>
            <w:vAlign w:val="center"/>
          </w:tcPr>
          <w:p w14:paraId="239B43FB"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1697" w:type="dxa"/>
            <w:shd w:val="clear" w:color="auto" w:fill="auto"/>
            <w:tcMar>
              <w:top w:w="0" w:type="dxa"/>
              <w:bottom w:w="0" w:type="dxa"/>
            </w:tcMar>
            <w:vAlign w:val="center"/>
          </w:tcPr>
          <w:p w14:paraId="168BA989"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1,095,492</w:t>
            </w:r>
          </w:p>
        </w:tc>
        <w:tc>
          <w:tcPr>
            <w:tcW w:w="1679" w:type="dxa"/>
            <w:shd w:val="clear" w:color="auto" w:fill="auto"/>
            <w:tcMar>
              <w:top w:w="0" w:type="dxa"/>
              <w:bottom w:w="0" w:type="dxa"/>
            </w:tcMar>
            <w:vAlign w:val="center"/>
          </w:tcPr>
          <w:p w14:paraId="06F3ACD6"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1,036,774</w:t>
            </w:r>
          </w:p>
        </w:tc>
      </w:tr>
      <w:tr w:rsidR="00790507" w14:paraId="155125D4" w14:textId="77777777">
        <w:trPr>
          <w:jc w:val="center"/>
        </w:trPr>
        <w:tc>
          <w:tcPr>
            <w:tcW w:w="639" w:type="dxa"/>
            <w:shd w:val="clear" w:color="auto" w:fill="auto"/>
            <w:tcMar>
              <w:top w:w="0" w:type="dxa"/>
              <w:bottom w:w="0" w:type="dxa"/>
            </w:tcMar>
            <w:vAlign w:val="center"/>
          </w:tcPr>
          <w:p w14:paraId="50A25EF8"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308" w:type="dxa"/>
            <w:shd w:val="clear" w:color="auto" w:fill="auto"/>
            <w:tcMar>
              <w:top w:w="0" w:type="dxa"/>
              <w:bottom w:w="0" w:type="dxa"/>
            </w:tcMar>
            <w:vAlign w:val="center"/>
          </w:tcPr>
          <w:p w14:paraId="002236E6" w14:textId="77777777" w:rsidR="00790507" w:rsidRDefault="00AB7C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profit before tax</w:t>
            </w:r>
          </w:p>
        </w:tc>
        <w:tc>
          <w:tcPr>
            <w:tcW w:w="1694" w:type="dxa"/>
            <w:shd w:val="clear" w:color="auto" w:fill="auto"/>
            <w:tcMar>
              <w:top w:w="0" w:type="dxa"/>
              <w:bottom w:w="0" w:type="dxa"/>
            </w:tcMar>
            <w:vAlign w:val="center"/>
          </w:tcPr>
          <w:p w14:paraId="3BA0D120"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1697" w:type="dxa"/>
            <w:shd w:val="clear" w:color="auto" w:fill="auto"/>
            <w:tcMar>
              <w:top w:w="0" w:type="dxa"/>
              <w:bottom w:w="0" w:type="dxa"/>
            </w:tcMar>
            <w:vAlign w:val="center"/>
          </w:tcPr>
          <w:p w14:paraId="23837B9D"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19.028</w:t>
            </w:r>
          </w:p>
        </w:tc>
        <w:tc>
          <w:tcPr>
            <w:tcW w:w="1679" w:type="dxa"/>
            <w:shd w:val="clear" w:color="auto" w:fill="auto"/>
            <w:tcMar>
              <w:top w:w="0" w:type="dxa"/>
              <w:bottom w:w="0" w:type="dxa"/>
            </w:tcMar>
            <w:vAlign w:val="center"/>
          </w:tcPr>
          <w:p w14:paraId="062A06BD"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w:t>
            </w:r>
          </w:p>
        </w:tc>
      </w:tr>
      <w:tr w:rsidR="00790507" w14:paraId="60D13229" w14:textId="77777777">
        <w:trPr>
          <w:jc w:val="center"/>
        </w:trPr>
        <w:tc>
          <w:tcPr>
            <w:tcW w:w="639" w:type="dxa"/>
            <w:shd w:val="clear" w:color="auto" w:fill="auto"/>
            <w:tcMar>
              <w:top w:w="0" w:type="dxa"/>
              <w:bottom w:w="0" w:type="dxa"/>
            </w:tcMar>
            <w:vAlign w:val="center"/>
          </w:tcPr>
          <w:p w14:paraId="6524ED16"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308" w:type="dxa"/>
            <w:shd w:val="clear" w:color="auto" w:fill="auto"/>
            <w:tcMar>
              <w:top w:w="0" w:type="dxa"/>
              <w:bottom w:w="0" w:type="dxa"/>
            </w:tcMar>
            <w:vAlign w:val="center"/>
          </w:tcPr>
          <w:p w14:paraId="54A8523D" w14:textId="77777777" w:rsidR="00790507" w:rsidRDefault="00AB7C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rate</w:t>
            </w:r>
          </w:p>
        </w:tc>
        <w:tc>
          <w:tcPr>
            <w:tcW w:w="1694" w:type="dxa"/>
            <w:shd w:val="clear" w:color="auto" w:fill="auto"/>
            <w:tcMar>
              <w:top w:w="0" w:type="dxa"/>
              <w:bottom w:w="0" w:type="dxa"/>
            </w:tcMar>
            <w:vAlign w:val="center"/>
          </w:tcPr>
          <w:p w14:paraId="5867C18E"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1697" w:type="dxa"/>
            <w:shd w:val="clear" w:color="auto" w:fill="auto"/>
            <w:tcMar>
              <w:top w:w="0" w:type="dxa"/>
              <w:bottom w:w="0" w:type="dxa"/>
            </w:tcMar>
            <w:vAlign w:val="center"/>
          </w:tcPr>
          <w:p w14:paraId="1F7944CC"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w:t>
            </w:r>
          </w:p>
        </w:tc>
        <w:tc>
          <w:tcPr>
            <w:tcW w:w="1679" w:type="dxa"/>
            <w:shd w:val="clear" w:color="auto" w:fill="auto"/>
            <w:tcMar>
              <w:top w:w="0" w:type="dxa"/>
              <w:bottom w:w="0" w:type="dxa"/>
            </w:tcMar>
            <w:vAlign w:val="center"/>
          </w:tcPr>
          <w:p w14:paraId="0A510248"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(minimum) 12</w:t>
            </w:r>
          </w:p>
        </w:tc>
      </w:tr>
    </w:tbl>
    <w:p w14:paraId="547E3CF7" w14:textId="77777777" w:rsidR="00790507" w:rsidRDefault="00AB7C2E">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Report of the Supervisory Board on the Company's business results, performance of the Board of Directors, the Company's Manager; and the Self-assessment report on the performance of the Supervisory Board in 2023;</w:t>
      </w:r>
    </w:p>
    <w:p w14:paraId="09F5A30E" w14:textId="77777777" w:rsidR="00790507" w:rsidRDefault="00AB7C2E">
      <w:pPr>
        <w:numPr>
          <w:ilvl w:val="0"/>
          <w:numId w:val="3"/>
        </w:numPr>
        <w:pBdr>
          <w:top w:val="nil"/>
          <w:left w:val="nil"/>
          <w:bottom w:val="nil"/>
          <w:right w:val="nil"/>
          <w:between w:val="nil"/>
        </w:pBdr>
        <w:tabs>
          <w:tab w:val="left" w:pos="432"/>
          <w:tab w:val="left" w:pos="1076"/>
        </w:tabs>
        <w:spacing w:after="120" w:line="360" w:lineRule="auto"/>
        <w:rPr>
          <w:rFonts w:ascii="Arial" w:eastAsia="Arial" w:hAnsi="Arial" w:cs="Arial"/>
          <w:color w:val="010000"/>
          <w:sz w:val="20"/>
          <w:szCs w:val="20"/>
        </w:rPr>
      </w:pPr>
      <w:r>
        <w:rPr>
          <w:rFonts w:ascii="Arial" w:hAnsi="Arial"/>
          <w:color w:val="010000"/>
          <w:sz w:val="20"/>
        </w:rPr>
        <w:t>Audited Financial Statements 2023 of the Company;</w:t>
      </w:r>
    </w:p>
    <w:p w14:paraId="2F7D02F7" w14:textId="77777777" w:rsidR="00790507" w:rsidRDefault="00AB7C2E">
      <w:pPr>
        <w:numPr>
          <w:ilvl w:val="0"/>
          <w:numId w:val="3"/>
        </w:numPr>
        <w:pBdr>
          <w:top w:val="nil"/>
          <w:left w:val="nil"/>
          <w:bottom w:val="nil"/>
          <w:right w:val="nil"/>
          <w:between w:val="nil"/>
        </w:pBdr>
        <w:tabs>
          <w:tab w:val="left" w:pos="432"/>
          <w:tab w:val="left" w:pos="1096"/>
        </w:tabs>
        <w:spacing w:after="120" w:line="360" w:lineRule="auto"/>
        <w:rPr>
          <w:rFonts w:ascii="Arial" w:eastAsia="Arial" w:hAnsi="Arial" w:cs="Arial"/>
          <w:color w:val="010000"/>
          <w:sz w:val="20"/>
          <w:szCs w:val="20"/>
        </w:rPr>
      </w:pPr>
      <w:r>
        <w:rPr>
          <w:rFonts w:ascii="Arial" w:hAnsi="Arial"/>
          <w:color w:val="010000"/>
          <w:sz w:val="20"/>
        </w:rPr>
        <w:t>Report on the settlement of salary and remuneration funds of the Board of Directors and Supervisory Board in 2023;</w:t>
      </w:r>
    </w:p>
    <w:p w14:paraId="69E77E04" w14:textId="77777777" w:rsidR="00790507" w:rsidRDefault="00AB7C2E">
      <w:pPr>
        <w:numPr>
          <w:ilvl w:val="0"/>
          <w:numId w:val="3"/>
        </w:numPr>
        <w:pBdr>
          <w:top w:val="nil"/>
          <w:left w:val="nil"/>
          <w:bottom w:val="nil"/>
          <w:right w:val="nil"/>
          <w:between w:val="nil"/>
        </w:pBdr>
        <w:tabs>
          <w:tab w:val="left" w:pos="432"/>
          <w:tab w:val="left" w:pos="1086"/>
        </w:tabs>
        <w:spacing w:after="120" w:line="360" w:lineRule="auto"/>
        <w:jc w:val="both"/>
        <w:rPr>
          <w:rFonts w:ascii="Arial" w:eastAsia="Arial" w:hAnsi="Arial" w:cs="Arial"/>
          <w:color w:val="010000"/>
          <w:sz w:val="20"/>
          <w:szCs w:val="20"/>
        </w:rPr>
      </w:pPr>
      <w:r>
        <w:rPr>
          <w:rFonts w:ascii="Arial" w:hAnsi="Arial"/>
          <w:color w:val="010000"/>
          <w:sz w:val="20"/>
        </w:rPr>
        <w:t>Approve the Profit Distribution Plan for 2023; Payment of dividends for 2023 in cash at 20%;</w:t>
      </w:r>
    </w:p>
    <w:tbl>
      <w:tblPr>
        <w:tblStyle w:val="a0"/>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
        <w:gridCol w:w="5244"/>
        <w:gridCol w:w="2011"/>
        <w:gridCol w:w="1138"/>
      </w:tblGrid>
      <w:tr w:rsidR="00790507" w14:paraId="23176013" w14:textId="77777777">
        <w:trPr>
          <w:jc w:val="center"/>
        </w:trPr>
        <w:tc>
          <w:tcPr>
            <w:tcW w:w="624" w:type="dxa"/>
            <w:shd w:val="clear" w:color="auto" w:fill="auto"/>
            <w:tcMar>
              <w:top w:w="0" w:type="dxa"/>
              <w:bottom w:w="0" w:type="dxa"/>
            </w:tcMar>
            <w:vAlign w:val="center"/>
          </w:tcPr>
          <w:p w14:paraId="70DA59CF" w14:textId="77777777" w:rsidR="00790507" w:rsidRDefault="00AB7C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5244" w:type="dxa"/>
            <w:shd w:val="clear" w:color="auto" w:fill="auto"/>
            <w:tcMar>
              <w:top w:w="0" w:type="dxa"/>
              <w:bottom w:w="0" w:type="dxa"/>
            </w:tcMar>
            <w:vAlign w:val="center"/>
          </w:tcPr>
          <w:p w14:paraId="03B44BCB"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Targets</w:t>
            </w:r>
          </w:p>
        </w:tc>
        <w:tc>
          <w:tcPr>
            <w:tcW w:w="2011" w:type="dxa"/>
            <w:shd w:val="clear" w:color="auto" w:fill="auto"/>
            <w:tcMar>
              <w:top w:w="0" w:type="dxa"/>
              <w:bottom w:w="0" w:type="dxa"/>
            </w:tcMar>
            <w:vAlign w:val="center"/>
          </w:tcPr>
          <w:p w14:paraId="36CC6C4F"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Amount (VND)</w:t>
            </w:r>
          </w:p>
        </w:tc>
        <w:tc>
          <w:tcPr>
            <w:tcW w:w="1138" w:type="dxa"/>
            <w:shd w:val="clear" w:color="auto" w:fill="auto"/>
            <w:tcMar>
              <w:top w:w="0" w:type="dxa"/>
              <w:bottom w:w="0" w:type="dxa"/>
            </w:tcMar>
            <w:vAlign w:val="center"/>
          </w:tcPr>
          <w:p w14:paraId="5B63EA10"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Note</w:t>
            </w:r>
          </w:p>
        </w:tc>
      </w:tr>
      <w:tr w:rsidR="00790507" w14:paraId="46CA7CA0" w14:textId="77777777">
        <w:trPr>
          <w:jc w:val="center"/>
        </w:trPr>
        <w:tc>
          <w:tcPr>
            <w:tcW w:w="624" w:type="dxa"/>
            <w:shd w:val="clear" w:color="auto" w:fill="auto"/>
            <w:tcMar>
              <w:top w:w="0" w:type="dxa"/>
              <w:bottom w:w="0" w:type="dxa"/>
            </w:tcMar>
            <w:vAlign w:val="center"/>
          </w:tcPr>
          <w:p w14:paraId="52CD80D5"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5244" w:type="dxa"/>
            <w:shd w:val="clear" w:color="auto" w:fill="auto"/>
            <w:tcMar>
              <w:top w:w="0" w:type="dxa"/>
              <w:bottom w:w="0" w:type="dxa"/>
            </w:tcMar>
            <w:vAlign w:val="center"/>
          </w:tcPr>
          <w:p w14:paraId="30D4539B" w14:textId="77777777" w:rsidR="00790507" w:rsidRDefault="00AB7C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Actual profit before tax</w:t>
            </w:r>
          </w:p>
        </w:tc>
        <w:tc>
          <w:tcPr>
            <w:tcW w:w="2011" w:type="dxa"/>
            <w:shd w:val="clear" w:color="auto" w:fill="auto"/>
            <w:tcMar>
              <w:top w:w="0" w:type="dxa"/>
              <w:bottom w:w="0" w:type="dxa"/>
            </w:tcMar>
            <w:vAlign w:val="center"/>
          </w:tcPr>
          <w:p w14:paraId="5C982E2F"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19,028,486,576</w:t>
            </w:r>
          </w:p>
        </w:tc>
        <w:tc>
          <w:tcPr>
            <w:tcW w:w="1138" w:type="dxa"/>
            <w:shd w:val="clear" w:color="auto" w:fill="auto"/>
            <w:tcMar>
              <w:top w:w="0" w:type="dxa"/>
              <w:bottom w:w="0" w:type="dxa"/>
            </w:tcMar>
            <w:vAlign w:val="center"/>
          </w:tcPr>
          <w:p w14:paraId="5530A8D9" w14:textId="77777777" w:rsidR="00790507" w:rsidRDefault="00790507">
            <w:pPr>
              <w:tabs>
                <w:tab w:val="left" w:pos="432"/>
              </w:tabs>
              <w:spacing w:after="120" w:line="360" w:lineRule="auto"/>
              <w:jc w:val="center"/>
              <w:rPr>
                <w:rFonts w:ascii="Arial" w:eastAsia="Arial" w:hAnsi="Arial" w:cs="Arial"/>
                <w:color w:val="010000"/>
                <w:sz w:val="20"/>
                <w:szCs w:val="20"/>
              </w:rPr>
            </w:pPr>
          </w:p>
        </w:tc>
      </w:tr>
      <w:tr w:rsidR="00790507" w14:paraId="5C15E5D3" w14:textId="77777777">
        <w:trPr>
          <w:jc w:val="center"/>
        </w:trPr>
        <w:tc>
          <w:tcPr>
            <w:tcW w:w="624" w:type="dxa"/>
            <w:shd w:val="clear" w:color="auto" w:fill="auto"/>
            <w:tcMar>
              <w:top w:w="0" w:type="dxa"/>
              <w:bottom w:w="0" w:type="dxa"/>
            </w:tcMar>
            <w:vAlign w:val="center"/>
          </w:tcPr>
          <w:p w14:paraId="611BE043"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5244" w:type="dxa"/>
            <w:shd w:val="clear" w:color="auto" w:fill="auto"/>
            <w:tcMar>
              <w:top w:w="0" w:type="dxa"/>
              <w:bottom w:w="0" w:type="dxa"/>
            </w:tcMar>
            <w:vAlign w:val="center"/>
          </w:tcPr>
          <w:p w14:paraId="057757E4" w14:textId="77777777" w:rsidR="00790507" w:rsidRDefault="00AB7C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Corporate income tax</w:t>
            </w:r>
          </w:p>
        </w:tc>
        <w:tc>
          <w:tcPr>
            <w:tcW w:w="2011" w:type="dxa"/>
            <w:shd w:val="clear" w:color="auto" w:fill="auto"/>
            <w:tcMar>
              <w:top w:w="0" w:type="dxa"/>
              <w:bottom w:w="0" w:type="dxa"/>
            </w:tcMar>
            <w:vAlign w:val="center"/>
          </w:tcPr>
          <w:p w14:paraId="4E73685F"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3,883,814,950</w:t>
            </w:r>
          </w:p>
        </w:tc>
        <w:tc>
          <w:tcPr>
            <w:tcW w:w="1138" w:type="dxa"/>
            <w:shd w:val="clear" w:color="auto" w:fill="auto"/>
            <w:tcMar>
              <w:top w:w="0" w:type="dxa"/>
              <w:bottom w:w="0" w:type="dxa"/>
            </w:tcMar>
            <w:vAlign w:val="center"/>
          </w:tcPr>
          <w:p w14:paraId="3C77D43C" w14:textId="77777777" w:rsidR="00790507" w:rsidRDefault="00790507">
            <w:pPr>
              <w:tabs>
                <w:tab w:val="left" w:pos="432"/>
              </w:tabs>
              <w:spacing w:after="120" w:line="360" w:lineRule="auto"/>
              <w:jc w:val="center"/>
              <w:rPr>
                <w:rFonts w:ascii="Arial" w:eastAsia="Arial" w:hAnsi="Arial" w:cs="Arial"/>
                <w:color w:val="010000"/>
                <w:sz w:val="20"/>
                <w:szCs w:val="20"/>
              </w:rPr>
            </w:pPr>
          </w:p>
        </w:tc>
      </w:tr>
      <w:tr w:rsidR="00790507" w14:paraId="4D018A2F" w14:textId="77777777">
        <w:trPr>
          <w:jc w:val="center"/>
        </w:trPr>
        <w:tc>
          <w:tcPr>
            <w:tcW w:w="624" w:type="dxa"/>
            <w:shd w:val="clear" w:color="auto" w:fill="auto"/>
            <w:tcMar>
              <w:top w:w="0" w:type="dxa"/>
              <w:bottom w:w="0" w:type="dxa"/>
            </w:tcMar>
            <w:vAlign w:val="center"/>
          </w:tcPr>
          <w:p w14:paraId="4F1EBC4C"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5244" w:type="dxa"/>
            <w:shd w:val="clear" w:color="auto" w:fill="auto"/>
            <w:tcMar>
              <w:top w:w="0" w:type="dxa"/>
              <w:bottom w:w="0" w:type="dxa"/>
            </w:tcMar>
            <w:vAlign w:val="center"/>
          </w:tcPr>
          <w:p w14:paraId="692A97FB" w14:textId="77777777" w:rsidR="00790507" w:rsidRDefault="00AB7C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2011" w:type="dxa"/>
            <w:shd w:val="clear" w:color="auto" w:fill="auto"/>
            <w:tcMar>
              <w:top w:w="0" w:type="dxa"/>
              <w:bottom w:w="0" w:type="dxa"/>
            </w:tcMar>
            <w:vAlign w:val="center"/>
          </w:tcPr>
          <w:p w14:paraId="2215795D"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15,144,671,626</w:t>
            </w:r>
          </w:p>
        </w:tc>
        <w:tc>
          <w:tcPr>
            <w:tcW w:w="1138" w:type="dxa"/>
            <w:shd w:val="clear" w:color="auto" w:fill="auto"/>
            <w:tcMar>
              <w:top w:w="0" w:type="dxa"/>
              <w:bottom w:w="0" w:type="dxa"/>
            </w:tcMar>
            <w:vAlign w:val="center"/>
          </w:tcPr>
          <w:p w14:paraId="2CDD9DF5" w14:textId="77777777" w:rsidR="00790507" w:rsidRDefault="00790507">
            <w:pPr>
              <w:tabs>
                <w:tab w:val="left" w:pos="432"/>
              </w:tabs>
              <w:spacing w:after="120" w:line="360" w:lineRule="auto"/>
              <w:jc w:val="center"/>
              <w:rPr>
                <w:rFonts w:ascii="Arial" w:eastAsia="Arial" w:hAnsi="Arial" w:cs="Arial"/>
                <w:color w:val="010000"/>
                <w:sz w:val="20"/>
                <w:szCs w:val="20"/>
              </w:rPr>
            </w:pPr>
          </w:p>
        </w:tc>
      </w:tr>
      <w:tr w:rsidR="00790507" w14:paraId="22284266" w14:textId="77777777">
        <w:trPr>
          <w:jc w:val="center"/>
        </w:trPr>
        <w:tc>
          <w:tcPr>
            <w:tcW w:w="624" w:type="dxa"/>
            <w:shd w:val="clear" w:color="auto" w:fill="auto"/>
            <w:tcMar>
              <w:top w:w="0" w:type="dxa"/>
              <w:bottom w:w="0" w:type="dxa"/>
            </w:tcMar>
            <w:vAlign w:val="center"/>
          </w:tcPr>
          <w:p w14:paraId="4F1F002B"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5244" w:type="dxa"/>
            <w:shd w:val="clear" w:color="auto" w:fill="auto"/>
            <w:tcMar>
              <w:top w:w="0" w:type="dxa"/>
              <w:bottom w:w="0" w:type="dxa"/>
            </w:tcMar>
            <w:vAlign w:val="center"/>
          </w:tcPr>
          <w:p w14:paraId="73565C51" w14:textId="77777777" w:rsidR="00790507" w:rsidRDefault="00AB7C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 for non-executive members of the Board of Directors</w:t>
            </w:r>
          </w:p>
        </w:tc>
        <w:tc>
          <w:tcPr>
            <w:tcW w:w="2011" w:type="dxa"/>
            <w:shd w:val="clear" w:color="auto" w:fill="auto"/>
            <w:tcMar>
              <w:top w:w="0" w:type="dxa"/>
              <w:bottom w:w="0" w:type="dxa"/>
            </w:tcMar>
            <w:vAlign w:val="center"/>
          </w:tcPr>
          <w:p w14:paraId="53208271"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180,000,000</w:t>
            </w:r>
          </w:p>
        </w:tc>
        <w:tc>
          <w:tcPr>
            <w:tcW w:w="1138" w:type="dxa"/>
            <w:shd w:val="clear" w:color="auto" w:fill="auto"/>
            <w:tcMar>
              <w:top w:w="0" w:type="dxa"/>
              <w:bottom w:w="0" w:type="dxa"/>
            </w:tcMar>
            <w:vAlign w:val="center"/>
          </w:tcPr>
          <w:p w14:paraId="2138FC00" w14:textId="77777777" w:rsidR="00790507" w:rsidRDefault="00790507">
            <w:pPr>
              <w:tabs>
                <w:tab w:val="left" w:pos="432"/>
              </w:tabs>
              <w:spacing w:after="120" w:line="360" w:lineRule="auto"/>
              <w:jc w:val="center"/>
              <w:rPr>
                <w:rFonts w:ascii="Arial" w:eastAsia="Arial" w:hAnsi="Arial" w:cs="Arial"/>
                <w:color w:val="010000"/>
                <w:sz w:val="20"/>
                <w:szCs w:val="20"/>
              </w:rPr>
            </w:pPr>
          </w:p>
        </w:tc>
      </w:tr>
      <w:tr w:rsidR="00790507" w14:paraId="31BC8274" w14:textId="77777777">
        <w:trPr>
          <w:jc w:val="center"/>
        </w:trPr>
        <w:tc>
          <w:tcPr>
            <w:tcW w:w="624" w:type="dxa"/>
            <w:shd w:val="clear" w:color="auto" w:fill="auto"/>
            <w:tcMar>
              <w:top w:w="0" w:type="dxa"/>
              <w:bottom w:w="0" w:type="dxa"/>
            </w:tcMar>
            <w:vAlign w:val="center"/>
          </w:tcPr>
          <w:p w14:paraId="7D8817F2"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5244" w:type="dxa"/>
            <w:shd w:val="clear" w:color="auto" w:fill="auto"/>
            <w:tcMar>
              <w:top w:w="0" w:type="dxa"/>
              <w:bottom w:w="0" w:type="dxa"/>
            </w:tcMar>
            <w:vAlign w:val="center"/>
          </w:tcPr>
          <w:p w14:paraId="690B9766" w14:textId="77777777" w:rsidR="00790507" w:rsidRDefault="00AB7C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distributable profit in 2023</w:t>
            </w:r>
          </w:p>
        </w:tc>
        <w:tc>
          <w:tcPr>
            <w:tcW w:w="2011" w:type="dxa"/>
            <w:shd w:val="clear" w:color="auto" w:fill="auto"/>
            <w:tcMar>
              <w:top w:w="0" w:type="dxa"/>
              <w:bottom w:w="0" w:type="dxa"/>
            </w:tcMar>
            <w:vAlign w:val="center"/>
          </w:tcPr>
          <w:p w14:paraId="7CBC00E3"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14,964,671,626</w:t>
            </w:r>
          </w:p>
        </w:tc>
        <w:tc>
          <w:tcPr>
            <w:tcW w:w="1138" w:type="dxa"/>
            <w:shd w:val="clear" w:color="auto" w:fill="auto"/>
            <w:tcMar>
              <w:top w:w="0" w:type="dxa"/>
              <w:bottom w:w="0" w:type="dxa"/>
            </w:tcMar>
            <w:vAlign w:val="center"/>
          </w:tcPr>
          <w:p w14:paraId="537B06B0" w14:textId="77777777" w:rsidR="00790507" w:rsidRDefault="00790507">
            <w:pPr>
              <w:tabs>
                <w:tab w:val="left" w:pos="432"/>
              </w:tabs>
              <w:spacing w:after="120" w:line="360" w:lineRule="auto"/>
              <w:jc w:val="center"/>
              <w:rPr>
                <w:rFonts w:ascii="Arial" w:eastAsia="Arial" w:hAnsi="Arial" w:cs="Arial"/>
                <w:color w:val="010000"/>
                <w:sz w:val="20"/>
                <w:szCs w:val="20"/>
              </w:rPr>
            </w:pPr>
          </w:p>
        </w:tc>
      </w:tr>
      <w:tr w:rsidR="00790507" w14:paraId="03753702" w14:textId="77777777">
        <w:trPr>
          <w:jc w:val="center"/>
        </w:trPr>
        <w:tc>
          <w:tcPr>
            <w:tcW w:w="624" w:type="dxa"/>
            <w:shd w:val="clear" w:color="auto" w:fill="auto"/>
            <w:tcMar>
              <w:top w:w="0" w:type="dxa"/>
              <w:bottom w:w="0" w:type="dxa"/>
            </w:tcMar>
            <w:vAlign w:val="center"/>
          </w:tcPr>
          <w:p w14:paraId="27E560ED"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5.1</w:t>
            </w:r>
          </w:p>
        </w:tc>
        <w:tc>
          <w:tcPr>
            <w:tcW w:w="5244" w:type="dxa"/>
            <w:shd w:val="clear" w:color="auto" w:fill="auto"/>
            <w:tcMar>
              <w:top w:w="0" w:type="dxa"/>
              <w:bottom w:w="0" w:type="dxa"/>
            </w:tcMar>
            <w:vAlign w:val="center"/>
          </w:tcPr>
          <w:p w14:paraId="25C43433" w14:textId="77777777" w:rsidR="00790507" w:rsidRDefault="00AB7C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in cash (20%)</w:t>
            </w:r>
          </w:p>
        </w:tc>
        <w:tc>
          <w:tcPr>
            <w:tcW w:w="2011" w:type="dxa"/>
            <w:shd w:val="clear" w:color="auto" w:fill="auto"/>
            <w:tcMar>
              <w:top w:w="0" w:type="dxa"/>
              <w:bottom w:w="0" w:type="dxa"/>
            </w:tcMar>
            <w:vAlign w:val="center"/>
          </w:tcPr>
          <w:p w14:paraId="731342AB"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9,931,028,000</w:t>
            </w:r>
          </w:p>
        </w:tc>
        <w:tc>
          <w:tcPr>
            <w:tcW w:w="1138" w:type="dxa"/>
            <w:shd w:val="clear" w:color="auto" w:fill="auto"/>
            <w:tcMar>
              <w:top w:w="0" w:type="dxa"/>
              <w:bottom w:w="0" w:type="dxa"/>
            </w:tcMar>
            <w:vAlign w:val="center"/>
          </w:tcPr>
          <w:p w14:paraId="44F19886" w14:textId="77777777" w:rsidR="00790507" w:rsidRDefault="00790507">
            <w:pPr>
              <w:tabs>
                <w:tab w:val="left" w:pos="432"/>
              </w:tabs>
              <w:spacing w:after="120" w:line="360" w:lineRule="auto"/>
              <w:jc w:val="center"/>
              <w:rPr>
                <w:rFonts w:ascii="Arial" w:eastAsia="Arial" w:hAnsi="Arial" w:cs="Arial"/>
                <w:color w:val="010000"/>
                <w:sz w:val="20"/>
                <w:szCs w:val="20"/>
              </w:rPr>
            </w:pPr>
          </w:p>
        </w:tc>
      </w:tr>
      <w:tr w:rsidR="00790507" w14:paraId="4461C98D" w14:textId="77777777">
        <w:trPr>
          <w:jc w:val="center"/>
        </w:trPr>
        <w:tc>
          <w:tcPr>
            <w:tcW w:w="624" w:type="dxa"/>
            <w:shd w:val="clear" w:color="auto" w:fill="auto"/>
            <w:tcMar>
              <w:top w:w="0" w:type="dxa"/>
              <w:bottom w:w="0" w:type="dxa"/>
            </w:tcMar>
            <w:vAlign w:val="center"/>
          </w:tcPr>
          <w:p w14:paraId="42CBF189" w14:textId="77777777" w:rsidR="00790507" w:rsidRDefault="00AB7C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w:t>
            </w:r>
          </w:p>
        </w:tc>
        <w:tc>
          <w:tcPr>
            <w:tcW w:w="5244" w:type="dxa"/>
            <w:shd w:val="clear" w:color="auto" w:fill="auto"/>
            <w:tcMar>
              <w:top w:w="0" w:type="dxa"/>
              <w:bottom w:w="0" w:type="dxa"/>
            </w:tcMar>
            <w:vAlign w:val="center"/>
          </w:tcPr>
          <w:p w14:paraId="24FDFC3F" w14:textId="77777777" w:rsidR="00790507" w:rsidRDefault="00AB7C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Investment and development fund.</w:t>
            </w:r>
          </w:p>
        </w:tc>
        <w:tc>
          <w:tcPr>
            <w:tcW w:w="2011" w:type="dxa"/>
            <w:shd w:val="clear" w:color="auto" w:fill="auto"/>
            <w:tcMar>
              <w:top w:w="0" w:type="dxa"/>
              <w:bottom w:w="0" w:type="dxa"/>
            </w:tcMar>
            <w:vAlign w:val="center"/>
          </w:tcPr>
          <w:p w14:paraId="3EC2D0CF"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3,000,000,000</w:t>
            </w:r>
          </w:p>
        </w:tc>
        <w:tc>
          <w:tcPr>
            <w:tcW w:w="1138" w:type="dxa"/>
            <w:shd w:val="clear" w:color="auto" w:fill="auto"/>
            <w:tcMar>
              <w:top w:w="0" w:type="dxa"/>
              <w:bottom w:w="0" w:type="dxa"/>
            </w:tcMar>
            <w:vAlign w:val="center"/>
          </w:tcPr>
          <w:p w14:paraId="52D15975" w14:textId="77777777" w:rsidR="00790507" w:rsidRDefault="00790507">
            <w:pPr>
              <w:tabs>
                <w:tab w:val="left" w:pos="432"/>
              </w:tabs>
              <w:spacing w:after="120" w:line="360" w:lineRule="auto"/>
              <w:jc w:val="center"/>
              <w:rPr>
                <w:rFonts w:ascii="Arial" w:eastAsia="Arial" w:hAnsi="Arial" w:cs="Arial"/>
                <w:color w:val="010000"/>
                <w:sz w:val="20"/>
                <w:szCs w:val="20"/>
              </w:rPr>
            </w:pPr>
          </w:p>
        </w:tc>
      </w:tr>
      <w:tr w:rsidR="00790507" w14:paraId="1D58D3BE" w14:textId="77777777">
        <w:trPr>
          <w:jc w:val="center"/>
        </w:trPr>
        <w:tc>
          <w:tcPr>
            <w:tcW w:w="624" w:type="dxa"/>
            <w:shd w:val="clear" w:color="auto" w:fill="auto"/>
            <w:tcMar>
              <w:top w:w="0" w:type="dxa"/>
              <w:bottom w:w="0" w:type="dxa"/>
            </w:tcMar>
            <w:vAlign w:val="center"/>
          </w:tcPr>
          <w:p w14:paraId="767DFD36" w14:textId="77777777" w:rsidR="00790507" w:rsidRDefault="00AB7C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5.3</w:t>
            </w:r>
          </w:p>
        </w:tc>
        <w:tc>
          <w:tcPr>
            <w:tcW w:w="5244" w:type="dxa"/>
            <w:shd w:val="clear" w:color="auto" w:fill="auto"/>
            <w:tcMar>
              <w:top w:w="0" w:type="dxa"/>
              <w:bottom w:w="0" w:type="dxa"/>
            </w:tcMar>
            <w:vAlign w:val="center"/>
          </w:tcPr>
          <w:p w14:paraId="5A67FC66" w14:textId="77777777" w:rsidR="00790507" w:rsidRDefault="00AB7C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Welfare and bonus fund</w:t>
            </w:r>
          </w:p>
        </w:tc>
        <w:tc>
          <w:tcPr>
            <w:tcW w:w="2011" w:type="dxa"/>
            <w:shd w:val="clear" w:color="auto" w:fill="auto"/>
            <w:tcMar>
              <w:top w:w="0" w:type="dxa"/>
              <w:bottom w:w="0" w:type="dxa"/>
            </w:tcMar>
            <w:vAlign w:val="center"/>
          </w:tcPr>
          <w:p w14:paraId="624AB197" w14:textId="77777777" w:rsidR="00790507" w:rsidRDefault="00AB7C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1,803,643,626</w:t>
            </w:r>
          </w:p>
        </w:tc>
        <w:tc>
          <w:tcPr>
            <w:tcW w:w="1138" w:type="dxa"/>
            <w:shd w:val="clear" w:color="auto" w:fill="auto"/>
            <w:tcMar>
              <w:top w:w="0" w:type="dxa"/>
              <w:bottom w:w="0" w:type="dxa"/>
            </w:tcMar>
            <w:vAlign w:val="center"/>
          </w:tcPr>
          <w:p w14:paraId="668BD435" w14:textId="77777777" w:rsidR="00790507" w:rsidRDefault="00790507">
            <w:pPr>
              <w:tabs>
                <w:tab w:val="left" w:pos="432"/>
              </w:tabs>
              <w:spacing w:after="120" w:line="360" w:lineRule="auto"/>
              <w:jc w:val="center"/>
              <w:rPr>
                <w:rFonts w:ascii="Arial" w:eastAsia="Arial" w:hAnsi="Arial" w:cs="Arial"/>
                <w:color w:val="010000"/>
                <w:sz w:val="20"/>
                <w:szCs w:val="20"/>
              </w:rPr>
            </w:pPr>
          </w:p>
        </w:tc>
      </w:tr>
      <w:tr w:rsidR="00790507" w14:paraId="1203EC51" w14:textId="77777777">
        <w:trPr>
          <w:jc w:val="center"/>
        </w:trPr>
        <w:tc>
          <w:tcPr>
            <w:tcW w:w="624" w:type="dxa"/>
            <w:shd w:val="clear" w:color="auto" w:fill="auto"/>
            <w:tcMar>
              <w:top w:w="0" w:type="dxa"/>
              <w:bottom w:w="0" w:type="dxa"/>
            </w:tcMar>
            <w:vAlign w:val="center"/>
          </w:tcPr>
          <w:p w14:paraId="73BFD55F" w14:textId="77777777" w:rsidR="00790507" w:rsidRDefault="00AB7C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w:t>
            </w:r>
          </w:p>
        </w:tc>
        <w:tc>
          <w:tcPr>
            <w:tcW w:w="5244" w:type="dxa"/>
            <w:shd w:val="clear" w:color="auto" w:fill="auto"/>
            <w:tcMar>
              <w:top w:w="0" w:type="dxa"/>
              <w:bottom w:w="0" w:type="dxa"/>
            </w:tcMar>
            <w:vAlign w:val="center"/>
          </w:tcPr>
          <w:p w14:paraId="216983F1" w14:textId="77777777" w:rsidR="00790507" w:rsidRDefault="00AB7C2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Bonus fund for managers:</w:t>
            </w:r>
          </w:p>
        </w:tc>
        <w:tc>
          <w:tcPr>
            <w:tcW w:w="2011" w:type="dxa"/>
            <w:shd w:val="clear" w:color="auto" w:fill="auto"/>
            <w:tcMar>
              <w:top w:w="0" w:type="dxa"/>
              <w:bottom w:w="0" w:type="dxa"/>
            </w:tcMar>
            <w:vAlign w:val="center"/>
          </w:tcPr>
          <w:p w14:paraId="67F773B7" w14:textId="77777777" w:rsidR="00790507" w:rsidRDefault="00AB7C2E">
            <w:pPr>
              <w:numPr>
                <w:ilvl w:val="0"/>
                <w:numId w:val="1"/>
              </w:numPr>
              <w:pBdr>
                <w:top w:val="nil"/>
                <w:left w:val="nil"/>
                <w:bottom w:val="nil"/>
                <w:right w:val="nil"/>
                <w:between w:val="nil"/>
              </w:pBdr>
              <w:tabs>
                <w:tab w:val="left" w:pos="432"/>
              </w:tabs>
              <w:spacing w:after="120" w:line="360" w:lineRule="auto"/>
              <w:ind w:left="0" w:firstLine="0"/>
              <w:jc w:val="center"/>
              <w:rPr>
                <w:rFonts w:ascii="Arial" w:eastAsia="Arial" w:hAnsi="Arial" w:cs="Arial"/>
                <w:color w:val="010000"/>
                <w:sz w:val="20"/>
                <w:szCs w:val="20"/>
              </w:rPr>
            </w:pPr>
            <w:r>
              <w:rPr>
                <w:rFonts w:ascii="Arial" w:hAnsi="Arial"/>
                <w:color w:val="010000"/>
                <w:sz w:val="20"/>
              </w:rPr>
              <w:t>0</w:t>
            </w:r>
          </w:p>
        </w:tc>
        <w:tc>
          <w:tcPr>
            <w:tcW w:w="1138" w:type="dxa"/>
            <w:shd w:val="clear" w:color="auto" w:fill="auto"/>
            <w:tcMar>
              <w:top w:w="0" w:type="dxa"/>
              <w:bottom w:w="0" w:type="dxa"/>
            </w:tcMar>
            <w:vAlign w:val="center"/>
          </w:tcPr>
          <w:p w14:paraId="1B1F120B" w14:textId="77777777" w:rsidR="00790507" w:rsidRDefault="00790507">
            <w:pPr>
              <w:tabs>
                <w:tab w:val="left" w:pos="432"/>
              </w:tabs>
              <w:spacing w:after="120" w:line="360" w:lineRule="auto"/>
              <w:jc w:val="center"/>
              <w:rPr>
                <w:rFonts w:ascii="Arial" w:eastAsia="Arial" w:hAnsi="Arial" w:cs="Arial"/>
                <w:color w:val="010000"/>
                <w:sz w:val="20"/>
                <w:szCs w:val="20"/>
              </w:rPr>
            </w:pPr>
          </w:p>
        </w:tc>
      </w:tr>
    </w:tbl>
    <w:p w14:paraId="3B8D9B5E" w14:textId="77777777" w:rsidR="00790507" w:rsidRDefault="00AB7C2E">
      <w:pPr>
        <w:numPr>
          <w:ilvl w:val="0"/>
          <w:numId w:val="3"/>
        </w:numPr>
        <w:pBdr>
          <w:top w:val="nil"/>
          <w:left w:val="nil"/>
          <w:bottom w:val="nil"/>
          <w:right w:val="nil"/>
          <w:between w:val="nil"/>
        </w:pBdr>
        <w:tabs>
          <w:tab w:val="left" w:pos="432"/>
          <w:tab w:val="left" w:pos="1086"/>
        </w:tabs>
        <w:spacing w:after="120" w:line="360" w:lineRule="auto"/>
        <w:jc w:val="both"/>
        <w:rPr>
          <w:rFonts w:ascii="Arial" w:eastAsia="Arial" w:hAnsi="Arial" w:cs="Arial"/>
          <w:color w:val="010000"/>
          <w:sz w:val="20"/>
          <w:szCs w:val="20"/>
        </w:rPr>
      </w:pPr>
      <w:r>
        <w:rPr>
          <w:rFonts w:ascii="Arial" w:hAnsi="Arial"/>
          <w:color w:val="010000"/>
          <w:sz w:val="20"/>
        </w:rPr>
        <w:t>Proposal on the List of audit companies for the Company's Financial Statements in 2024;</w:t>
      </w:r>
    </w:p>
    <w:p w14:paraId="428E4AFA" w14:textId="77777777" w:rsidR="00790507" w:rsidRDefault="00AB7C2E">
      <w:pPr>
        <w:numPr>
          <w:ilvl w:val="0"/>
          <w:numId w:val="3"/>
        </w:numPr>
        <w:pBdr>
          <w:top w:val="nil"/>
          <w:left w:val="nil"/>
          <w:bottom w:val="nil"/>
          <w:right w:val="nil"/>
          <w:between w:val="nil"/>
        </w:pBdr>
        <w:tabs>
          <w:tab w:val="left" w:pos="432"/>
          <w:tab w:val="left" w:pos="1089"/>
        </w:tabs>
        <w:spacing w:after="120" w:line="360" w:lineRule="auto"/>
        <w:jc w:val="both"/>
        <w:rPr>
          <w:rFonts w:ascii="Arial" w:eastAsia="Arial" w:hAnsi="Arial" w:cs="Arial"/>
          <w:color w:val="010000"/>
          <w:sz w:val="20"/>
          <w:szCs w:val="20"/>
        </w:rPr>
      </w:pPr>
      <w:r>
        <w:rPr>
          <w:rFonts w:ascii="Arial" w:hAnsi="Arial"/>
          <w:color w:val="010000"/>
          <w:sz w:val="20"/>
        </w:rPr>
        <w:t>Approve the plan for salary and remuneration funds of the Board of Directors and Supervisory Board in 2024;</w:t>
      </w:r>
    </w:p>
    <w:p w14:paraId="67DF2CE3" w14:textId="77777777" w:rsidR="00790507" w:rsidRDefault="00AB7C2E">
      <w:pPr>
        <w:numPr>
          <w:ilvl w:val="0"/>
          <w:numId w:val="3"/>
        </w:numPr>
        <w:pBdr>
          <w:top w:val="nil"/>
          <w:left w:val="nil"/>
          <w:bottom w:val="nil"/>
          <w:right w:val="nil"/>
          <w:between w:val="nil"/>
        </w:pBdr>
        <w:tabs>
          <w:tab w:val="left" w:pos="432"/>
          <w:tab w:val="left" w:pos="1086"/>
        </w:tabs>
        <w:spacing w:after="120" w:line="360" w:lineRule="auto"/>
        <w:jc w:val="both"/>
        <w:rPr>
          <w:rFonts w:ascii="Arial" w:eastAsia="Arial" w:hAnsi="Arial" w:cs="Arial"/>
          <w:color w:val="010000"/>
          <w:sz w:val="20"/>
          <w:szCs w:val="20"/>
        </w:rPr>
      </w:pPr>
      <w:r>
        <w:rPr>
          <w:rFonts w:ascii="Arial" w:hAnsi="Arial"/>
          <w:color w:val="010000"/>
          <w:sz w:val="20"/>
        </w:rPr>
        <w:t>Approve on signing contracts and transactions with related parties;</w:t>
      </w:r>
    </w:p>
    <w:p w14:paraId="77C9F905" w14:textId="77777777" w:rsidR="00790507" w:rsidRDefault="00AB7C2E">
      <w:pPr>
        <w:numPr>
          <w:ilvl w:val="0"/>
          <w:numId w:val="3"/>
        </w:numPr>
        <w:pBdr>
          <w:top w:val="nil"/>
          <w:left w:val="nil"/>
          <w:bottom w:val="nil"/>
          <w:right w:val="nil"/>
          <w:between w:val="nil"/>
        </w:pBdr>
        <w:tabs>
          <w:tab w:val="left" w:pos="432"/>
          <w:tab w:val="left" w:pos="1215"/>
        </w:tabs>
        <w:spacing w:after="120" w:line="360" w:lineRule="auto"/>
        <w:jc w:val="both"/>
        <w:rPr>
          <w:rFonts w:ascii="Arial" w:eastAsia="Arial" w:hAnsi="Arial" w:cs="Arial"/>
          <w:color w:val="010000"/>
          <w:sz w:val="20"/>
          <w:szCs w:val="20"/>
        </w:rPr>
      </w:pPr>
      <w:r>
        <w:rPr>
          <w:rFonts w:ascii="Arial" w:hAnsi="Arial"/>
          <w:color w:val="010000"/>
          <w:sz w:val="20"/>
        </w:rPr>
        <w:t>Approve the dismissal of Mr. Truong Hung Son as a member of the Board of Directors for the term 2023-2028;</w:t>
      </w:r>
    </w:p>
    <w:p w14:paraId="1A633EFD" w14:textId="77777777" w:rsidR="00790507" w:rsidRDefault="00AB7C2E">
      <w:pPr>
        <w:numPr>
          <w:ilvl w:val="0"/>
          <w:numId w:val="3"/>
        </w:numPr>
        <w:pBdr>
          <w:top w:val="nil"/>
          <w:left w:val="nil"/>
          <w:bottom w:val="nil"/>
          <w:right w:val="nil"/>
          <w:between w:val="nil"/>
        </w:pBdr>
        <w:tabs>
          <w:tab w:val="left" w:pos="432"/>
          <w:tab w:val="left" w:pos="1215"/>
        </w:tabs>
        <w:spacing w:after="120" w:line="360" w:lineRule="auto"/>
        <w:jc w:val="both"/>
        <w:rPr>
          <w:rFonts w:ascii="Arial" w:eastAsia="Arial" w:hAnsi="Arial" w:cs="Arial"/>
          <w:color w:val="010000"/>
          <w:sz w:val="20"/>
          <w:szCs w:val="20"/>
        </w:rPr>
      </w:pPr>
      <w:r>
        <w:rPr>
          <w:rFonts w:ascii="Arial" w:hAnsi="Arial"/>
          <w:color w:val="010000"/>
          <w:sz w:val="20"/>
        </w:rPr>
        <w:t>Approve the dismissal of Mr. Mai Van Nam as a member of the Supervisory Board for the term 2023-2028;</w:t>
      </w:r>
    </w:p>
    <w:p w14:paraId="6C742149" w14:textId="77777777" w:rsidR="00790507" w:rsidRDefault="00AB7C2E">
      <w:pPr>
        <w:numPr>
          <w:ilvl w:val="0"/>
          <w:numId w:val="3"/>
        </w:numPr>
        <w:pBdr>
          <w:top w:val="nil"/>
          <w:left w:val="nil"/>
          <w:bottom w:val="nil"/>
          <w:right w:val="nil"/>
          <w:between w:val="nil"/>
        </w:pBdr>
        <w:tabs>
          <w:tab w:val="left" w:pos="432"/>
          <w:tab w:val="left" w:pos="1230"/>
        </w:tabs>
        <w:spacing w:after="120" w:line="360" w:lineRule="auto"/>
        <w:jc w:val="both"/>
        <w:rPr>
          <w:rFonts w:ascii="Arial" w:eastAsia="Arial" w:hAnsi="Arial" w:cs="Arial"/>
          <w:color w:val="010000"/>
          <w:sz w:val="20"/>
          <w:szCs w:val="20"/>
        </w:rPr>
      </w:pPr>
      <w:r>
        <w:rPr>
          <w:rFonts w:ascii="Arial" w:hAnsi="Arial"/>
          <w:color w:val="010000"/>
          <w:sz w:val="20"/>
        </w:rPr>
        <w:t>Approve the list of additional members of the Board of Directors and Supervisory Board for the term 2023-2028</w:t>
      </w:r>
    </w:p>
    <w:p w14:paraId="3E2DE242" w14:textId="77777777" w:rsidR="00790507" w:rsidRDefault="00AB7C2E">
      <w:pPr>
        <w:numPr>
          <w:ilvl w:val="0"/>
          <w:numId w:val="3"/>
        </w:numPr>
        <w:pBdr>
          <w:top w:val="nil"/>
          <w:left w:val="nil"/>
          <w:bottom w:val="nil"/>
          <w:right w:val="nil"/>
          <w:between w:val="nil"/>
        </w:pBdr>
        <w:tabs>
          <w:tab w:val="left" w:pos="432"/>
          <w:tab w:val="left" w:pos="1230"/>
        </w:tabs>
        <w:spacing w:after="120" w:line="360" w:lineRule="auto"/>
        <w:jc w:val="both"/>
        <w:rPr>
          <w:rFonts w:ascii="Arial" w:eastAsia="Arial" w:hAnsi="Arial" w:cs="Arial"/>
          <w:color w:val="010000"/>
          <w:sz w:val="20"/>
          <w:szCs w:val="20"/>
        </w:rPr>
      </w:pPr>
      <w:r>
        <w:rPr>
          <w:rFonts w:ascii="Arial" w:hAnsi="Arial"/>
          <w:color w:val="010000"/>
          <w:sz w:val="20"/>
        </w:rPr>
        <w:t>Approve the election results of additional members of the Board of Directors and Supervisory Board for the term 2023-2028 who were validly elected in accordance with the law and the Company's Charter.  Including:</w:t>
      </w:r>
    </w:p>
    <w:p w14:paraId="014DD7D2" w14:textId="77777777" w:rsidR="00790507" w:rsidRDefault="00AB7C2E">
      <w:pPr>
        <w:numPr>
          <w:ilvl w:val="1"/>
          <w:numId w:val="3"/>
        </w:numPr>
        <w:pBdr>
          <w:top w:val="nil"/>
          <w:left w:val="nil"/>
          <w:bottom w:val="nil"/>
          <w:right w:val="nil"/>
          <w:between w:val="nil"/>
        </w:pBdr>
        <w:tabs>
          <w:tab w:val="left" w:pos="432"/>
          <w:tab w:val="left" w:pos="1366"/>
        </w:tabs>
        <w:spacing w:after="120" w:line="360" w:lineRule="auto"/>
        <w:jc w:val="both"/>
        <w:rPr>
          <w:rFonts w:ascii="Arial" w:eastAsia="Arial" w:hAnsi="Arial" w:cs="Arial"/>
          <w:color w:val="010000"/>
          <w:sz w:val="20"/>
          <w:szCs w:val="20"/>
        </w:rPr>
      </w:pPr>
      <w:r>
        <w:rPr>
          <w:rFonts w:ascii="Arial" w:hAnsi="Arial"/>
          <w:color w:val="010000"/>
          <w:sz w:val="20"/>
        </w:rPr>
        <w:t>The Board of Directors Mr. Nguyen Duc Thang:</w:t>
      </w:r>
    </w:p>
    <w:p w14:paraId="225D3E9A" w14:textId="77777777" w:rsidR="00790507" w:rsidRDefault="00AB7C2E">
      <w:pPr>
        <w:numPr>
          <w:ilvl w:val="1"/>
          <w:numId w:val="3"/>
        </w:numPr>
        <w:pBdr>
          <w:top w:val="nil"/>
          <w:left w:val="nil"/>
          <w:bottom w:val="nil"/>
          <w:right w:val="nil"/>
          <w:between w:val="nil"/>
        </w:pBdr>
        <w:tabs>
          <w:tab w:val="left" w:pos="432"/>
          <w:tab w:val="left" w:pos="1366"/>
        </w:tabs>
        <w:spacing w:after="120" w:line="360" w:lineRule="auto"/>
        <w:jc w:val="both"/>
        <w:rPr>
          <w:rFonts w:ascii="Arial" w:eastAsia="Arial" w:hAnsi="Arial" w:cs="Arial"/>
          <w:color w:val="010000"/>
          <w:sz w:val="20"/>
          <w:szCs w:val="20"/>
        </w:rPr>
      </w:pPr>
      <w:r>
        <w:rPr>
          <w:rFonts w:ascii="Arial" w:hAnsi="Arial"/>
          <w:color w:val="010000"/>
          <w:sz w:val="20"/>
        </w:rPr>
        <w:t>The Supervisory Board; Mr. Bui Xuan Hung</w:t>
      </w:r>
    </w:p>
    <w:p w14:paraId="6E374CF8" w14:textId="77777777" w:rsidR="00790507" w:rsidRDefault="00AB7C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Terms of enforcement</w:t>
      </w:r>
    </w:p>
    <w:p w14:paraId="5A90C62F" w14:textId="77777777" w:rsidR="00790507" w:rsidRDefault="00AB7C2E">
      <w:pPr>
        <w:numPr>
          <w:ilvl w:val="0"/>
          <w:numId w:val="4"/>
        </w:numPr>
        <w:pBdr>
          <w:top w:val="nil"/>
          <w:left w:val="nil"/>
          <w:bottom w:val="nil"/>
          <w:right w:val="nil"/>
          <w:between w:val="nil"/>
        </w:pBdr>
        <w:tabs>
          <w:tab w:val="left" w:pos="432"/>
          <w:tab w:val="left" w:pos="1086"/>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authorizes the Board of Directors of Petrolimex Equipment JSC to implement the contents approved by the Annual General Meeting of Shareholders in 2024 and carry out necessary procedures in accordance with the law and this General Mandate;</w:t>
      </w:r>
    </w:p>
    <w:p w14:paraId="7F0FD382" w14:textId="7F6F067D" w:rsidR="00790507" w:rsidRDefault="00AB7C2E">
      <w:pPr>
        <w:numPr>
          <w:ilvl w:val="0"/>
          <w:numId w:val="4"/>
        </w:numPr>
        <w:pBdr>
          <w:top w:val="nil"/>
          <w:left w:val="nil"/>
          <w:bottom w:val="nil"/>
          <w:right w:val="nil"/>
          <w:between w:val="nil"/>
        </w:pBdr>
        <w:tabs>
          <w:tab w:val="left" w:pos="432"/>
          <w:tab w:val="left" w:pos="1086"/>
        </w:tabs>
        <w:spacing w:after="120" w:line="360" w:lineRule="auto"/>
        <w:jc w:val="both"/>
        <w:rPr>
          <w:rFonts w:ascii="Arial" w:eastAsia="Arial" w:hAnsi="Arial" w:cs="Arial"/>
          <w:color w:val="010000"/>
          <w:sz w:val="20"/>
          <w:szCs w:val="20"/>
        </w:rPr>
      </w:pPr>
      <w:r>
        <w:rPr>
          <w:rFonts w:ascii="Arial" w:hAnsi="Arial"/>
          <w:color w:val="010000"/>
          <w:sz w:val="20"/>
        </w:rPr>
        <w:t>This General Mandate was approved by the Annual General Meeting of Shareholders in 2024 of Petrolimex Equipment JSC and takes effect from April 22, 2024;</w:t>
      </w:r>
    </w:p>
    <w:p w14:paraId="1D322BA6" w14:textId="77777777" w:rsidR="00790507" w:rsidRDefault="00AB7C2E">
      <w:pPr>
        <w:numPr>
          <w:ilvl w:val="0"/>
          <w:numId w:val="4"/>
        </w:numPr>
        <w:pBdr>
          <w:top w:val="nil"/>
          <w:left w:val="nil"/>
          <w:bottom w:val="nil"/>
          <w:right w:val="nil"/>
          <w:between w:val="nil"/>
        </w:pBdr>
        <w:tabs>
          <w:tab w:val="left" w:pos="432"/>
          <w:tab w:val="left" w:pos="1086"/>
        </w:tabs>
        <w:spacing w:after="120" w:line="360" w:lineRule="auto"/>
        <w:jc w:val="both"/>
        <w:rPr>
          <w:rFonts w:ascii="Arial" w:eastAsia="Arial" w:hAnsi="Arial" w:cs="Arial"/>
          <w:color w:val="010000"/>
          <w:sz w:val="20"/>
          <w:szCs w:val="20"/>
        </w:rPr>
      </w:pPr>
      <w:r>
        <w:rPr>
          <w:rFonts w:ascii="Arial" w:hAnsi="Arial"/>
          <w:color w:val="010000"/>
          <w:sz w:val="20"/>
        </w:rPr>
        <w:t>The shareholders, Board of Directors, Supervisory Board, Manager of the Company and related organizations/individuals are responsible for implementing this General Mandate.</w:t>
      </w:r>
    </w:p>
    <w:sectPr w:rsidR="00790507">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panose1 w:val="00000000000000000000"/>
    <w:charset w:val="00"/>
    <w:family w:val="roman"/>
    <w:notTrueType/>
    <w:pitch w:val="default"/>
  </w:font>
  <w:font w:name="等线">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33B1B"/>
    <w:multiLevelType w:val="multilevel"/>
    <w:tmpl w:val="9328E22A"/>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09E6265"/>
    <w:multiLevelType w:val="multilevel"/>
    <w:tmpl w:val="1D968818"/>
    <w:lvl w:ilvl="0">
      <w:start w:val="23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75304A9"/>
    <w:multiLevelType w:val="multilevel"/>
    <w:tmpl w:val="E24AF22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3015135"/>
    <w:multiLevelType w:val="multilevel"/>
    <w:tmpl w:val="5874AEE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7"/>
    <w:rsid w:val="00790507"/>
    <w:rsid w:val="0079190E"/>
    <w:rsid w:val="00AB7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6B89"/>
  <w15:docId w15:val="{BDA2C4CB-B7D8-4DC6-B42F-74155A0B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w w:val="80"/>
      <w:sz w:val="54"/>
      <w:szCs w:val="54"/>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sz w:val="10"/>
      <w:szCs w:val="1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9"/>
      <w:szCs w:val="9"/>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line="283" w:lineRule="auto"/>
      <w:ind w:firstLine="400"/>
    </w:pPr>
    <w:rPr>
      <w:rFonts w:ascii="Times New Roman" w:eastAsia="Times New Roman" w:hAnsi="Times New Roman" w:cs="Times New Roman"/>
      <w:sz w:val="26"/>
      <w:szCs w:val="26"/>
    </w:rPr>
  </w:style>
  <w:style w:type="paragraph" w:customStyle="1" w:styleId="Vnbnnidung50">
    <w:name w:val="Văn bản nội dung (5)"/>
    <w:basedOn w:val="Normal"/>
    <w:link w:val="Vnbnnidung5"/>
    <w:rPr>
      <w:rFonts w:ascii="Arial" w:eastAsia="Arial" w:hAnsi="Arial" w:cs="Arial"/>
      <w:b/>
      <w:bCs/>
      <w:w w:val="80"/>
      <w:sz w:val="54"/>
      <w:szCs w:val="54"/>
    </w:rPr>
  </w:style>
  <w:style w:type="paragraph" w:customStyle="1" w:styleId="Vnbnnidung40">
    <w:name w:val="Văn bản nội dung (4)"/>
    <w:basedOn w:val="Normal"/>
    <w:link w:val="Vnbnnidung4"/>
    <w:rPr>
      <w:rFonts w:ascii="Arial" w:eastAsia="Arial" w:hAnsi="Arial" w:cs="Arial"/>
      <w:b/>
      <w:bCs/>
      <w:sz w:val="10"/>
      <w:szCs w:val="10"/>
    </w:rPr>
  </w:style>
  <w:style w:type="paragraph" w:customStyle="1" w:styleId="Vnbnnidung20">
    <w:name w:val="Văn bản nội dung (2)"/>
    <w:basedOn w:val="Normal"/>
    <w:link w:val="Vnbnnidung2"/>
    <w:rPr>
      <w:rFonts w:ascii="Times New Roman" w:eastAsia="Times New Roman" w:hAnsi="Times New Roman" w:cs="Times New Roman"/>
      <w:b/>
      <w:bCs/>
      <w:sz w:val="22"/>
      <w:szCs w:val="22"/>
    </w:rPr>
  </w:style>
  <w:style w:type="paragraph" w:customStyle="1" w:styleId="Vnbnnidung30">
    <w:name w:val="Văn bản nội dung (3)"/>
    <w:basedOn w:val="Normal"/>
    <w:link w:val="Vnbnnidung3"/>
    <w:pPr>
      <w:spacing w:line="176" w:lineRule="exact"/>
      <w:jc w:val="center"/>
    </w:pPr>
    <w:rPr>
      <w:rFonts w:ascii="Arial" w:eastAsia="Arial" w:hAnsi="Arial" w:cs="Arial"/>
      <w:b/>
      <w:bCs/>
      <w:sz w:val="9"/>
      <w:szCs w:val="9"/>
    </w:rPr>
  </w:style>
  <w:style w:type="paragraph" w:customStyle="1" w:styleId="Tiu10">
    <w:name w:val="Tiêu đề #1"/>
    <w:basedOn w:val="Normal"/>
    <w:link w:val="Tiu1"/>
    <w:pPr>
      <w:spacing w:after="210" w:line="254" w:lineRule="auto"/>
      <w:ind w:firstLine="350"/>
      <w:jc w:val="center"/>
      <w:outlineLvl w:val="0"/>
    </w:pPr>
    <w:rPr>
      <w:rFonts w:ascii="Times New Roman" w:eastAsia="Times New Roman" w:hAnsi="Times New Roman" w:cs="Times New Roman"/>
      <w:b/>
      <w:bCs/>
      <w:sz w:val="26"/>
      <w:szCs w:val="26"/>
    </w:rPr>
  </w:style>
  <w:style w:type="paragraph" w:customStyle="1" w:styleId="Chthchbng0">
    <w:name w:val="Chú thích bảng"/>
    <w:basedOn w:val="Normal"/>
    <w:link w:val="Chthchbng"/>
    <w:pPr>
      <w:spacing w:line="286" w:lineRule="auto"/>
      <w:ind w:firstLine="700"/>
    </w:pPr>
    <w:rPr>
      <w:rFonts w:ascii="Times New Roman" w:eastAsia="Times New Roman" w:hAnsi="Times New Roman" w:cs="Times New Roman"/>
      <w:sz w:val="26"/>
      <w:szCs w:val="26"/>
    </w:rPr>
  </w:style>
  <w:style w:type="paragraph" w:customStyle="1" w:styleId="Khc0">
    <w:name w:val="Khác"/>
    <w:basedOn w:val="Normal"/>
    <w:link w:val="Khc"/>
    <w:pPr>
      <w:spacing w:line="283"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l2uIhvccBy8MznLwr3GRrKhjew==">CgMxLjA4AHIhMV9haEtJYU5KckJHSVdRS0k2dmxRSG50Ym9SWEh2T0RP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2024-05-02T03:45:00Z</dcterms:created>
  <dcterms:modified xsi:type="dcterms:W3CDTF">2024-05-02T03:45:00Z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485160272285273b24e26bfe8be27933413995078384f135096750446219709b</vt:lpwstr>
  </property>
</Properties>
</file>