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3BC7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1048B">
        <w:rPr>
          <w:rFonts w:ascii="Arial" w:hAnsi="Arial" w:cs="Arial"/>
          <w:b/>
          <w:color w:val="010000"/>
          <w:sz w:val="20"/>
        </w:rPr>
        <w:t>PRE: Annual General Mandate 2024</w:t>
      </w:r>
    </w:p>
    <w:p w14:paraId="12E22B7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71048B">
        <w:rPr>
          <w:rFonts w:ascii="Arial" w:hAnsi="Arial" w:cs="Arial"/>
          <w:color w:val="010000"/>
          <w:sz w:val="20"/>
        </w:rPr>
        <w:t>On April 23, 2024, PVI Reinsurance Joint-stock Corporation announced General Mandate No. 01/2024/NQ-DHDCD as follows:</w:t>
      </w:r>
    </w:p>
    <w:p w14:paraId="09AA9FA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1: Approve the Report on the business results in 2023 and the business plan 2024 with the following main targets:</w:t>
      </w:r>
    </w:p>
    <w:p w14:paraId="71BC4460" w14:textId="77777777" w:rsidR="00307FE3" w:rsidRPr="0071048B" w:rsidRDefault="0071048B" w:rsidP="00764F72">
      <w:pPr>
        <w:keepNext/>
        <w:numPr>
          <w:ilvl w:val="0"/>
          <w:numId w:val="5"/>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71048B">
        <w:rPr>
          <w:rFonts w:ascii="Arial" w:hAnsi="Arial" w:cs="Arial"/>
          <w:color w:val="010000"/>
          <w:sz w:val="20"/>
        </w:rPr>
        <w:t>Business results in 2023:</w:t>
      </w:r>
    </w:p>
    <w:p w14:paraId="5E980E3C" w14:textId="77777777" w:rsidR="00307FE3" w:rsidRPr="0071048B" w:rsidRDefault="0071048B" w:rsidP="00764F72">
      <w:pPr>
        <w:numPr>
          <w:ilvl w:val="0"/>
          <w:numId w:val="6"/>
        </w:numPr>
        <w:pBdr>
          <w:top w:val="nil"/>
          <w:left w:val="nil"/>
          <w:bottom w:val="nil"/>
          <w:right w:val="nil"/>
          <w:between w:val="nil"/>
        </w:pBdr>
        <w:tabs>
          <w:tab w:val="left" w:pos="432"/>
          <w:tab w:val="left" w:pos="1039"/>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revenue is VND 2,990 billion, reaching 112.2% of the plan; In which, revenue from reinsurance fee is VND</w:t>
      </w:r>
      <w:bookmarkStart w:id="1" w:name="_GoBack"/>
      <w:bookmarkEnd w:id="1"/>
      <w:r w:rsidRPr="0071048B">
        <w:rPr>
          <w:rFonts w:ascii="Arial" w:hAnsi="Arial" w:cs="Arial"/>
          <w:color w:val="010000"/>
          <w:sz w:val="20"/>
        </w:rPr>
        <w:t xml:space="preserve"> 2,457 billion, reaching 117% of the plan.</w:t>
      </w:r>
    </w:p>
    <w:p w14:paraId="0A66FB47" w14:textId="77777777" w:rsidR="00307FE3" w:rsidRPr="0071048B" w:rsidRDefault="0071048B" w:rsidP="00764F72">
      <w:pPr>
        <w:numPr>
          <w:ilvl w:val="0"/>
          <w:numId w:val="6"/>
        </w:numPr>
        <w:pBdr>
          <w:top w:val="nil"/>
          <w:left w:val="nil"/>
          <w:bottom w:val="nil"/>
          <w:right w:val="nil"/>
          <w:between w:val="nil"/>
        </w:pBdr>
        <w:tabs>
          <w:tab w:val="left" w:pos="432"/>
          <w:tab w:val="left" w:pos="1039"/>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expenses are VND 2,733.5 billion, reaching 111.9% of the plan;</w:t>
      </w:r>
    </w:p>
    <w:p w14:paraId="2BC2805A" w14:textId="77777777" w:rsidR="00307FE3" w:rsidRPr="0071048B" w:rsidRDefault="0071048B" w:rsidP="00764F72">
      <w:pPr>
        <w:numPr>
          <w:ilvl w:val="0"/>
          <w:numId w:val="6"/>
        </w:numPr>
        <w:pBdr>
          <w:top w:val="nil"/>
          <w:left w:val="nil"/>
          <w:bottom w:val="nil"/>
          <w:right w:val="nil"/>
          <w:between w:val="nil"/>
        </w:pBdr>
        <w:tabs>
          <w:tab w:val="left" w:pos="432"/>
          <w:tab w:val="left" w:pos="1042"/>
        </w:tabs>
        <w:spacing w:after="120" w:line="360" w:lineRule="auto"/>
        <w:jc w:val="both"/>
        <w:rPr>
          <w:rFonts w:ascii="Arial" w:eastAsia="Arial" w:hAnsi="Arial" w:cs="Arial"/>
          <w:color w:val="010000"/>
          <w:sz w:val="20"/>
          <w:szCs w:val="20"/>
        </w:rPr>
      </w:pPr>
      <w:r w:rsidRPr="0071048B">
        <w:rPr>
          <w:rFonts w:ascii="Arial" w:hAnsi="Arial" w:cs="Arial"/>
          <w:color w:val="010000"/>
          <w:sz w:val="20"/>
        </w:rPr>
        <w:t>Profit before tax is VND 256.4 billion, reaching 114.8% of the plan; In which, profit from insurance business activities is VND 62.6 billion, reaching 153.4% of the plan; profit from financial investment activities is VND 194.5 billion, reaching 106.6% of the plan and growing 34.3% over the same period.</w:t>
      </w:r>
    </w:p>
    <w:p w14:paraId="5FC2C0F4" w14:textId="77777777" w:rsidR="00307FE3" w:rsidRPr="0071048B" w:rsidRDefault="0071048B" w:rsidP="00764F72">
      <w:pPr>
        <w:numPr>
          <w:ilvl w:val="0"/>
          <w:numId w:val="6"/>
        </w:numPr>
        <w:pBdr>
          <w:top w:val="nil"/>
          <w:left w:val="nil"/>
          <w:bottom w:val="nil"/>
          <w:right w:val="nil"/>
          <w:between w:val="nil"/>
        </w:pBdr>
        <w:tabs>
          <w:tab w:val="left" w:pos="432"/>
          <w:tab w:val="left" w:pos="1042"/>
        </w:tabs>
        <w:spacing w:after="120" w:line="360" w:lineRule="auto"/>
        <w:jc w:val="both"/>
        <w:rPr>
          <w:rFonts w:ascii="Arial" w:eastAsia="Arial" w:hAnsi="Arial" w:cs="Arial"/>
          <w:color w:val="010000"/>
          <w:sz w:val="20"/>
          <w:szCs w:val="20"/>
        </w:rPr>
      </w:pPr>
      <w:r w:rsidRPr="0071048B">
        <w:rPr>
          <w:rFonts w:ascii="Arial" w:hAnsi="Arial" w:cs="Arial"/>
          <w:color w:val="010000"/>
          <w:sz w:val="20"/>
        </w:rPr>
        <w:t>The combined rate reaches 94.6%, lower than the plan and lower than the rate realized in 2022.</w:t>
      </w:r>
    </w:p>
    <w:p w14:paraId="4D713CB0" w14:textId="77777777" w:rsidR="00307FE3" w:rsidRPr="0071048B" w:rsidRDefault="0071048B" w:rsidP="00764F72">
      <w:pPr>
        <w:keepNext/>
        <w:numPr>
          <w:ilvl w:val="0"/>
          <w:numId w:val="5"/>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71048B">
        <w:rPr>
          <w:rFonts w:ascii="Arial" w:hAnsi="Arial" w:cs="Arial"/>
          <w:color w:val="010000"/>
          <w:sz w:val="20"/>
        </w:rPr>
        <w:t>Business plan 2024:</w:t>
      </w:r>
    </w:p>
    <w:p w14:paraId="0C3202E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Unit: Billion VND</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8"/>
        <w:gridCol w:w="4745"/>
        <w:gridCol w:w="3267"/>
      </w:tblGrid>
      <w:tr w:rsidR="00307FE3" w:rsidRPr="0071048B" w14:paraId="7E00FF02" w14:textId="77777777" w:rsidTr="007565E6">
        <w:trPr>
          <w:jc w:val="center"/>
        </w:trPr>
        <w:tc>
          <w:tcPr>
            <w:tcW w:w="554" w:type="pct"/>
            <w:shd w:val="clear" w:color="auto" w:fill="auto"/>
            <w:tcMar>
              <w:top w:w="0" w:type="dxa"/>
              <w:bottom w:w="0" w:type="dxa"/>
            </w:tcMar>
            <w:vAlign w:val="center"/>
          </w:tcPr>
          <w:p w14:paraId="75A739E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No.</w:t>
            </w:r>
          </w:p>
        </w:tc>
        <w:tc>
          <w:tcPr>
            <w:tcW w:w="2633" w:type="pct"/>
            <w:shd w:val="clear" w:color="auto" w:fill="auto"/>
            <w:tcMar>
              <w:top w:w="0" w:type="dxa"/>
              <w:bottom w:w="0" w:type="dxa"/>
            </w:tcMar>
            <w:vAlign w:val="center"/>
          </w:tcPr>
          <w:p w14:paraId="2B64494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Target</w:t>
            </w:r>
          </w:p>
        </w:tc>
        <w:tc>
          <w:tcPr>
            <w:tcW w:w="1813" w:type="pct"/>
            <w:shd w:val="clear" w:color="auto" w:fill="auto"/>
            <w:tcMar>
              <w:top w:w="0" w:type="dxa"/>
              <w:bottom w:w="0" w:type="dxa"/>
            </w:tcMar>
            <w:vAlign w:val="center"/>
          </w:tcPr>
          <w:p w14:paraId="415BE8DB"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Plan 2024</w:t>
            </w:r>
          </w:p>
        </w:tc>
      </w:tr>
      <w:tr w:rsidR="00307FE3" w:rsidRPr="0071048B" w14:paraId="0271DF0F" w14:textId="77777777" w:rsidTr="007565E6">
        <w:trPr>
          <w:jc w:val="center"/>
        </w:trPr>
        <w:tc>
          <w:tcPr>
            <w:tcW w:w="554" w:type="pct"/>
            <w:shd w:val="clear" w:color="auto" w:fill="auto"/>
            <w:tcMar>
              <w:top w:w="0" w:type="dxa"/>
              <w:bottom w:w="0" w:type="dxa"/>
            </w:tcMar>
            <w:vAlign w:val="center"/>
          </w:tcPr>
          <w:p w14:paraId="0743EDA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w:t>
            </w:r>
          </w:p>
        </w:tc>
        <w:tc>
          <w:tcPr>
            <w:tcW w:w="2633" w:type="pct"/>
            <w:shd w:val="clear" w:color="auto" w:fill="auto"/>
            <w:tcMar>
              <w:top w:w="0" w:type="dxa"/>
              <w:bottom w:w="0" w:type="dxa"/>
            </w:tcMar>
            <w:vAlign w:val="center"/>
          </w:tcPr>
          <w:p w14:paraId="5402131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Charter capital</w:t>
            </w:r>
          </w:p>
        </w:tc>
        <w:tc>
          <w:tcPr>
            <w:tcW w:w="1813" w:type="pct"/>
            <w:shd w:val="clear" w:color="auto" w:fill="auto"/>
            <w:tcMar>
              <w:top w:w="0" w:type="dxa"/>
              <w:bottom w:w="0" w:type="dxa"/>
            </w:tcMar>
            <w:vAlign w:val="center"/>
          </w:tcPr>
          <w:p w14:paraId="6EA31BE4"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1,044.0</w:t>
            </w:r>
          </w:p>
        </w:tc>
      </w:tr>
      <w:tr w:rsidR="00307FE3" w:rsidRPr="0071048B" w14:paraId="348A92E4" w14:textId="77777777" w:rsidTr="007565E6">
        <w:trPr>
          <w:jc w:val="center"/>
        </w:trPr>
        <w:tc>
          <w:tcPr>
            <w:tcW w:w="554" w:type="pct"/>
            <w:shd w:val="clear" w:color="auto" w:fill="auto"/>
            <w:tcMar>
              <w:top w:w="0" w:type="dxa"/>
              <w:bottom w:w="0" w:type="dxa"/>
            </w:tcMar>
            <w:vAlign w:val="center"/>
          </w:tcPr>
          <w:p w14:paraId="6587053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w:t>
            </w:r>
          </w:p>
        </w:tc>
        <w:tc>
          <w:tcPr>
            <w:tcW w:w="2633" w:type="pct"/>
            <w:shd w:val="clear" w:color="auto" w:fill="auto"/>
            <w:tcMar>
              <w:top w:w="0" w:type="dxa"/>
              <w:bottom w:w="0" w:type="dxa"/>
            </w:tcMar>
            <w:vAlign w:val="center"/>
          </w:tcPr>
          <w:p w14:paraId="07DFBC6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revenue</w:t>
            </w:r>
          </w:p>
        </w:tc>
        <w:tc>
          <w:tcPr>
            <w:tcW w:w="1813" w:type="pct"/>
            <w:shd w:val="clear" w:color="auto" w:fill="auto"/>
            <w:tcMar>
              <w:top w:w="0" w:type="dxa"/>
              <w:bottom w:w="0" w:type="dxa"/>
            </w:tcMar>
            <w:vAlign w:val="center"/>
          </w:tcPr>
          <w:p w14:paraId="2D4B15A8"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2,830.2</w:t>
            </w:r>
          </w:p>
        </w:tc>
      </w:tr>
      <w:tr w:rsidR="00307FE3" w:rsidRPr="0071048B" w14:paraId="62868570" w14:textId="77777777" w:rsidTr="007565E6">
        <w:trPr>
          <w:jc w:val="center"/>
        </w:trPr>
        <w:tc>
          <w:tcPr>
            <w:tcW w:w="554" w:type="pct"/>
            <w:shd w:val="clear" w:color="auto" w:fill="auto"/>
            <w:tcMar>
              <w:top w:w="0" w:type="dxa"/>
              <w:bottom w:w="0" w:type="dxa"/>
            </w:tcMar>
            <w:vAlign w:val="center"/>
          </w:tcPr>
          <w:p w14:paraId="43320BE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3</w:t>
            </w:r>
          </w:p>
        </w:tc>
        <w:tc>
          <w:tcPr>
            <w:tcW w:w="2633" w:type="pct"/>
            <w:shd w:val="clear" w:color="auto" w:fill="auto"/>
            <w:tcMar>
              <w:top w:w="0" w:type="dxa"/>
              <w:bottom w:w="0" w:type="dxa"/>
            </w:tcMar>
            <w:vAlign w:val="center"/>
          </w:tcPr>
          <w:p w14:paraId="71FF2C9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expenses</w:t>
            </w:r>
          </w:p>
        </w:tc>
        <w:tc>
          <w:tcPr>
            <w:tcW w:w="1813" w:type="pct"/>
            <w:shd w:val="clear" w:color="auto" w:fill="auto"/>
            <w:tcMar>
              <w:top w:w="0" w:type="dxa"/>
              <w:bottom w:w="0" w:type="dxa"/>
            </w:tcMar>
            <w:vAlign w:val="center"/>
          </w:tcPr>
          <w:p w14:paraId="655E022E"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2,590.1</w:t>
            </w:r>
          </w:p>
        </w:tc>
      </w:tr>
      <w:tr w:rsidR="00307FE3" w:rsidRPr="0071048B" w14:paraId="2ECE2848" w14:textId="77777777" w:rsidTr="007565E6">
        <w:trPr>
          <w:jc w:val="center"/>
        </w:trPr>
        <w:tc>
          <w:tcPr>
            <w:tcW w:w="554" w:type="pct"/>
            <w:shd w:val="clear" w:color="auto" w:fill="auto"/>
            <w:tcMar>
              <w:top w:w="0" w:type="dxa"/>
              <w:bottom w:w="0" w:type="dxa"/>
            </w:tcMar>
            <w:vAlign w:val="center"/>
          </w:tcPr>
          <w:p w14:paraId="5DB9F4A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4</w:t>
            </w:r>
          </w:p>
        </w:tc>
        <w:tc>
          <w:tcPr>
            <w:tcW w:w="2633" w:type="pct"/>
            <w:shd w:val="clear" w:color="auto" w:fill="auto"/>
            <w:tcMar>
              <w:top w:w="0" w:type="dxa"/>
              <w:bottom w:w="0" w:type="dxa"/>
            </w:tcMar>
            <w:vAlign w:val="center"/>
          </w:tcPr>
          <w:p w14:paraId="41EB71C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Profit before tax</w:t>
            </w:r>
          </w:p>
        </w:tc>
        <w:tc>
          <w:tcPr>
            <w:tcW w:w="1813" w:type="pct"/>
            <w:shd w:val="clear" w:color="auto" w:fill="auto"/>
            <w:tcMar>
              <w:top w:w="0" w:type="dxa"/>
              <w:bottom w:w="0" w:type="dxa"/>
            </w:tcMar>
            <w:vAlign w:val="center"/>
          </w:tcPr>
          <w:p w14:paraId="0078A13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240.1</w:t>
            </w:r>
          </w:p>
        </w:tc>
      </w:tr>
      <w:tr w:rsidR="00307FE3" w:rsidRPr="0071048B" w14:paraId="53FCE07A" w14:textId="77777777" w:rsidTr="007565E6">
        <w:trPr>
          <w:jc w:val="center"/>
        </w:trPr>
        <w:tc>
          <w:tcPr>
            <w:tcW w:w="554" w:type="pct"/>
            <w:shd w:val="clear" w:color="auto" w:fill="auto"/>
            <w:tcMar>
              <w:top w:w="0" w:type="dxa"/>
              <w:bottom w:w="0" w:type="dxa"/>
            </w:tcMar>
            <w:vAlign w:val="center"/>
          </w:tcPr>
          <w:p w14:paraId="35EC0F7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w:t>
            </w:r>
          </w:p>
        </w:tc>
        <w:tc>
          <w:tcPr>
            <w:tcW w:w="2633" w:type="pct"/>
            <w:shd w:val="clear" w:color="auto" w:fill="auto"/>
            <w:tcMar>
              <w:top w:w="0" w:type="dxa"/>
              <w:bottom w:w="0" w:type="dxa"/>
            </w:tcMar>
            <w:vAlign w:val="center"/>
          </w:tcPr>
          <w:p w14:paraId="3C19841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Dividend payment rate</w:t>
            </w:r>
          </w:p>
        </w:tc>
        <w:tc>
          <w:tcPr>
            <w:tcW w:w="1813" w:type="pct"/>
            <w:shd w:val="clear" w:color="auto" w:fill="auto"/>
            <w:tcMar>
              <w:top w:w="0" w:type="dxa"/>
              <w:bottom w:w="0" w:type="dxa"/>
            </w:tcMar>
            <w:vAlign w:val="center"/>
          </w:tcPr>
          <w:p w14:paraId="39ECFEE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16%</w:t>
            </w:r>
          </w:p>
        </w:tc>
      </w:tr>
    </w:tbl>
    <w:p w14:paraId="273C975E" w14:textId="02EA15FC"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Assign </w:t>
      </w:r>
      <w:r w:rsidR="00DD733D" w:rsidRPr="0071048B">
        <w:rPr>
          <w:rFonts w:ascii="Arial" w:hAnsi="Arial" w:cs="Arial"/>
          <w:color w:val="010000"/>
          <w:sz w:val="20"/>
        </w:rPr>
        <w:t>the</w:t>
      </w:r>
      <w:r w:rsidRPr="0071048B">
        <w:rPr>
          <w:rFonts w:ascii="Arial" w:hAnsi="Arial" w:cs="Arial"/>
          <w:color w:val="010000"/>
          <w:sz w:val="20"/>
        </w:rPr>
        <w:t xml:space="preserve"> Board of Directors to approve the adjustment of the business plan 2024 in case there are major fluctuations in planning and reporting assumptions at the nearest General Meeting of Shareholders</w:t>
      </w:r>
    </w:p>
    <w:p w14:paraId="5A87ABF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2: Approve the Report on activities of the Board of Directors in 2023; orientation and operational plan of the Board of Directors in 2024 with the following main contents:</w:t>
      </w:r>
    </w:p>
    <w:p w14:paraId="21DD1320" w14:textId="77777777" w:rsidR="00307FE3" w:rsidRPr="0071048B" w:rsidRDefault="0071048B" w:rsidP="00764F72">
      <w:pPr>
        <w:keepNext/>
        <w:numPr>
          <w:ilvl w:val="1"/>
          <w:numId w:val="5"/>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Performance of the Board of Directors in 2023:</w:t>
      </w:r>
    </w:p>
    <w:p w14:paraId="393377C9"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Organize meetings according to functions, tasks and authorities.</w:t>
      </w:r>
    </w:p>
    <w:p w14:paraId="0687269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Directed to exceed the business plan 2023, ensure the dividend payment rate of 16% as well as complete the first dividend prepayment in December 2023 at a rate of 11.5 %.</w:t>
      </w:r>
    </w:p>
    <w:p w14:paraId="09E0877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Direct the corporate governance in: completing the increase in charter capital to VND 1,044 billion and changing the Company name to Hanoi Re. </w:t>
      </w:r>
    </w:p>
    <w:p w14:paraId="05BA79F7"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lastRenderedPageBreak/>
        <w:t>Direct the work of strengthening the organizational structure and personnel work.</w:t>
      </w:r>
    </w:p>
    <w:p w14:paraId="5DE5AB01"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effective financial investment activities.</w:t>
      </w:r>
    </w:p>
    <w:p w14:paraId="4EDE40FF"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Successfully direct in protecting and maintaining credit rating of B++ (Good).</w:t>
      </w:r>
    </w:p>
    <w:p w14:paraId="3F70453D"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shareholder relations work.</w:t>
      </w:r>
    </w:p>
    <w:p w14:paraId="511CFD64" w14:textId="77777777" w:rsidR="00307FE3" w:rsidRPr="0071048B" w:rsidRDefault="0071048B" w:rsidP="00764F72">
      <w:pPr>
        <w:numPr>
          <w:ilvl w:val="1"/>
          <w:numId w:val="5"/>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Operational plan of the Board of Directors in 2024:</w:t>
      </w:r>
    </w:p>
    <w:p w14:paraId="6031C310"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Hanoi Re to complete the plan 2024 with the following main targets:</w:t>
      </w:r>
    </w:p>
    <w:p w14:paraId="70151F91" w14:textId="77777777" w:rsidR="00307FE3" w:rsidRPr="0071048B" w:rsidRDefault="0071048B" w:rsidP="00764F72">
      <w:pPr>
        <w:numPr>
          <w:ilvl w:val="1"/>
          <w:numId w:val="2"/>
        </w:numPr>
        <w:pBdr>
          <w:top w:val="nil"/>
          <w:left w:val="nil"/>
          <w:bottom w:val="nil"/>
          <w:right w:val="nil"/>
          <w:between w:val="nil"/>
        </w:pBdr>
        <w:tabs>
          <w:tab w:val="left" w:pos="432"/>
          <w:tab w:val="left" w:pos="5007"/>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Total revenue: VND 2,830.2 billion;</w:t>
      </w:r>
    </w:p>
    <w:p w14:paraId="7568E6F2" w14:textId="77777777" w:rsidR="00307FE3" w:rsidRPr="0071048B" w:rsidRDefault="0071048B" w:rsidP="00764F72">
      <w:pPr>
        <w:numPr>
          <w:ilvl w:val="1"/>
          <w:numId w:val="2"/>
        </w:numPr>
        <w:pBdr>
          <w:top w:val="nil"/>
          <w:left w:val="nil"/>
          <w:bottom w:val="nil"/>
          <w:right w:val="nil"/>
          <w:between w:val="nil"/>
        </w:pBdr>
        <w:tabs>
          <w:tab w:val="left" w:pos="432"/>
          <w:tab w:val="left" w:pos="5007"/>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Total expenses: VND 2,590.1 billion;</w:t>
      </w:r>
    </w:p>
    <w:p w14:paraId="5470DA0F" w14:textId="77777777" w:rsidR="00307FE3" w:rsidRPr="0071048B" w:rsidRDefault="0071048B" w:rsidP="00764F72">
      <w:pPr>
        <w:numPr>
          <w:ilvl w:val="1"/>
          <w:numId w:val="2"/>
        </w:numPr>
        <w:pBdr>
          <w:top w:val="nil"/>
          <w:left w:val="nil"/>
          <w:bottom w:val="nil"/>
          <w:right w:val="nil"/>
          <w:between w:val="nil"/>
        </w:pBdr>
        <w:tabs>
          <w:tab w:val="left" w:pos="432"/>
          <w:tab w:val="left" w:pos="5007"/>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Total profit before tax: VND 240.1 billion;</w:t>
      </w:r>
    </w:p>
    <w:p w14:paraId="086A4CF1" w14:textId="77777777" w:rsidR="00307FE3" w:rsidRPr="0071048B" w:rsidRDefault="0071048B" w:rsidP="00764F72">
      <w:pPr>
        <w:numPr>
          <w:ilvl w:val="1"/>
          <w:numId w:val="2"/>
        </w:numPr>
        <w:pBdr>
          <w:top w:val="nil"/>
          <w:left w:val="nil"/>
          <w:bottom w:val="nil"/>
          <w:right w:val="nil"/>
          <w:between w:val="nil"/>
        </w:pBdr>
        <w:tabs>
          <w:tab w:val="left" w:pos="432"/>
          <w:tab w:val="left" w:pos="5007"/>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Dividend payment rate: 16%</w:t>
      </w:r>
    </w:p>
    <w:p w14:paraId="711664B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the Executive Board to come up with solutions and business strategies to closely follow market developments with the goal of increasing the efficiency of business activities to increase the profit.</w:t>
      </w:r>
    </w:p>
    <w:p w14:paraId="03226593"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Strengthen the governance, supervision and internal audit. Direct the completion and application of Report IFRS 17 as required.</w:t>
      </w:r>
    </w:p>
    <w:p w14:paraId="599F6894" w14:textId="77777777" w:rsidR="00307FE3" w:rsidRPr="0071048B" w:rsidRDefault="0071048B" w:rsidP="00764F72">
      <w:pPr>
        <w:numPr>
          <w:ilvl w:val="0"/>
          <w:numId w:val="6"/>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the review, evaluation and planning of officer.</w:t>
      </w:r>
    </w:p>
    <w:p w14:paraId="537BEE1A" w14:textId="77777777" w:rsidR="00307FE3" w:rsidRPr="0071048B" w:rsidRDefault="0071048B" w:rsidP="00764F72">
      <w:pPr>
        <w:numPr>
          <w:ilvl w:val="0"/>
          <w:numId w:val="6"/>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to maximize the efficiency of cash flow management, diversify and be more flexible in investment work to optimize the efficiency of financial investment activities.</w:t>
      </w:r>
    </w:p>
    <w:p w14:paraId="546A4159" w14:textId="77777777" w:rsidR="00307FE3" w:rsidRPr="0071048B" w:rsidRDefault="0071048B" w:rsidP="00764F72">
      <w:pPr>
        <w:numPr>
          <w:ilvl w:val="0"/>
          <w:numId w:val="6"/>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Direct the construction of a modern information technology system to facilitate system administration. Implement technology and software projects (Software for tracking income, personal income tax, application professional reports integrated with other management functions...).</w:t>
      </w:r>
    </w:p>
    <w:p w14:paraId="0B59CE60" w14:textId="77777777" w:rsidR="00307FE3" w:rsidRPr="0071048B" w:rsidRDefault="0071048B" w:rsidP="00764F72">
      <w:p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3. Approve the Financial Statements 2023 audited by Deloitte Vietnam Audit Company Limited with the following basic targets:</w:t>
      </w:r>
    </w:p>
    <w:p w14:paraId="0F4EE097" w14:textId="77777777" w:rsidR="00307FE3" w:rsidRPr="0071048B" w:rsidRDefault="0071048B" w:rsidP="00764F72">
      <w:p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9"/>
        <w:gridCol w:w="3573"/>
        <w:gridCol w:w="2532"/>
        <w:gridCol w:w="2256"/>
      </w:tblGrid>
      <w:tr w:rsidR="00307FE3" w:rsidRPr="0071048B" w14:paraId="1773D404" w14:textId="77777777" w:rsidTr="007565E6">
        <w:trPr>
          <w:tblHeader/>
        </w:trPr>
        <w:tc>
          <w:tcPr>
            <w:tcW w:w="360" w:type="pct"/>
            <w:shd w:val="clear" w:color="auto" w:fill="auto"/>
            <w:tcMar>
              <w:top w:w="0" w:type="dxa"/>
              <w:bottom w:w="0" w:type="dxa"/>
            </w:tcMar>
            <w:vAlign w:val="center"/>
          </w:tcPr>
          <w:p w14:paraId="600ABEAB"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No.</w:t>
            </w:r>
          </w:p>
        </w:tc>
        <w:tc>
          <w:tcPr>
            <w:tcW w:w="1983" w:type="pct"/>
            <w:shd w:val="clear" w:color="auto" w:fill="auto"/>
            <w:tcMar>
              <w:top w:w="0" w:type="dxa"/>
              <w:bottom w:w="0" w:type="dxa"/>
            </w:tcMar>
            <w:vAlign w:val="center"/>
          </w:tcPr>
          <w:p w14:paraId="1741A0B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Target</w:t>
            </w:r>
          </w:p>
        </w:tc>
        <w:tc>
          <w:tcPr>
            <w:tcW w:w="1405" w:type="pct"/>
            <w:shd w:val="clear" w:color="auto" w:fill="auto"/>
            <w:tcMar>
              <w:top w:w="0" w:type="dxa"/>
              <w:bottom w:w="0" w:type="dxa"/>
            </w:tcMar>
            <w:vAlign w:val="center"/>
          </w:tcPr>
          <w:p w14:paraId="4BBEF98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Results in 2023</w:t>
            </w:r>
          </w:p>
        </w:tc>
        <w:tc>
          <w:tcPr>
            <w:tcW w:w="1253" w:type="pct"/>
            <w:shd w:val="clear" w:color="auto" w:fill="auto"/>
            <w:tcMar>
              <w:top w:w="0" w:type="dxa"/>
              <w:bottom w:w="0" w:type="dxa"/>
            </w:tcMar>
            <w:vAlign w:val="center"/>
          </w:tcPr>
          <w:p w14:paraId="7877653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Results in 2022</w:t>
            </w:r>
          </w:p>
        </w:tc>
      </w:tr>
      <w:tr w:rsidR="00307FE3" w:rsidRPr="0071048B" w14:paraId="35EEEB28" w14:textId="77777777" w:rsidTr="007565E6">
        <w:tc>
          <w:tcPr>
            <w:tcW w:w="360" w:type="pct"/>
            <w:shd w:val="clear" w:color="auto" w:fill="auto"/>
            <w:tcMar>
              <w:top w:w="0" w:type="dxa"/>
              <w:bottom w:w="0" w:type="dxa"/>
            </w:tcMar>
            <w:vAlign w:val="center"/>
          </w:tcPr>
          <w:p w14:paraId="519964D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w:t>
            </w:r>
          </w:p>
        </w:tc>
        <w:tc>
          <w:tcPr>
            <w:tcW w:w="1983" w:type="pct"/>
            <w:shd w:val="clear" w:color="auto" w:fill="auto"/>
            <w:tcMar>
              <w:top w:w="0" w:type="dxa"/>
              <w:bottom w:w="0" w:type="dxa"/>
            </w:tcMar>
            <w:vAlign w:val="center"/>
          </w:tcPr>
          <w:p w14:paraId="04BF29B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assets</w:t>
            </w:r>
          </w:p>
        </w:tc>
        <w:tc>
          <w:tcPr>
            <w:tcW w:w="1405" w:type="pct"/>
            <w:shd w:val="clear" w:color="auto" w:fill="auto"/>
            <w:tcMar>
              <w:top w:w="0" w:type="dxa"/>
              <w:bottom w:w="0" w:type="dxa"/>
            </w:tcMar>
            <w:vAlign w:val="center"/>
          </w:tcPr>
          <w:p w14:paraId="34B0D4A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5,883,530,300,411</w:t>
            </w:r>
          </w:p>
        </w:tc>
        <w:tc>
          <w:tcPr>
            <w:tcW w:w="1253" w:type="pct"/>
            <w:shd w:val="clear" w:color="auto" w:fill="auto"/>
            <w:tcMar>
              <w:top w:w="0" w:type="dxa"/>
              <w:bottom w:w="0" w:type="dxa"/>
            </w:tcMar>
            <w:vAlign w:val="center"/>
          </w:tcPr>
          <w:p w14:paraId="7EDB162E"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5,941,579,496,595</w:t>
            </w:r>
          </w:p>
        </w:tc>
      </w:tr>
      <w:tr w:rsidR="00307FE3" w:rsidRPr="0071048B" w14:paraId="01C576B8" w14:textId="77777777" w:rsidTr="007565E6">
        <w:tc>
          <w:tcPr>
            <w:tcW w:w="360" w:type="pct"/>
            <w:shd w:val="clear" w:color="auto" w:fill="auto"/>
            <w:tcMar>
              <w:top w:w="0" w:type="dxa"/>
              <w:bottom w:w="0" w:type="dxa"/>
            </w:tcMar>
            <w:vAlign w:val="center"/>
          </w:tcPr>
          <w:p w14:paraId="29C02E88"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w:t>
            </w:r>
          </w:p>
        </w:tc>
        <w:tc>
          <w:tcPr>
            <w:tcW w:w="1983" w:type="pct"/>
            <w:shd w:val="clear" w:color="auto" w:fill="auto"/>
            <w:tcMar>
              <w:top w:w="0" w:type="dxa"/>
              <w:bottom w:w="0" w:type="dxa"/>
            </w:tcMar>
            <w:vAlign w:val="center"/>
          </w:tcPr>
          <w:p w14:paraId="4CC5D87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Owners’ equity</w:t>
            </w:r>
          </w:p>
        </w:tc>
        <w:tc>
          <w:tcPr>
            <w:tcW w:w="1405" w:type="pct"/>
            <w:shd w:val="clear" w:color="auto" w:fill="auto"/>
            <w:tcMar>
              <w:top w:w="0" w:type="dxa"/>
              <w:bottom w:w="0" w:type="dxa"/>
            </w:tcMar>
            <w:vAlign w:val="center"/>
          </w:tcPr>
          <w:p w14:paraId="5D0D5A5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1,593,583,446,324</w:t>
            </w:r>
          </w:p>
        </w:tc>
        <w:tc>
          <w:tcPr>
            <w:tcW w:w="1253" w:type="pct"/>
            <w:shd w:val="clear" w:color="auto" w:fill="auto"/>
            <w:tcMar>
              <w:top w:w="0" w:type="dxa"/>
              <w:bottom w:w="0" w:type="dxa"/>
            </w:tcMar>
            <w:vAlign w:val="center"/>
          </w:tcPr>
          <w:p w14:paraId="6450908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923,733,837,130</w:t>
            </w:r>
          </w:p>
        </w:tc>
      </w:tr>
      <w:tr w:rsidR="00307FE3" w:rsidRPr="0071048B" w14:paraId="784F8265" w14:textId="77777777" w:rsidTr="007565E6">
        <w:tc>
          <w:tcPr>
            <w:tcW w:w="360" w:type="pct"/>
            <w:shd w:val="clear" w:color="auto" w:fill="auto"/>
            <w:tcMar>
              <w:top w:w="0" w:type="dxa"/>
              <w:bottom w:w="0" w:type="dxa"/>
            </w:tcMar>
            <w:vAlign w:val="center"/>
          </w:tcPr>
          <w:p w14:paraId="0F6824F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3</w:t>
            </w:r>
          </w:p>
        </w:tc>
        <w:tc>
          <w:tcPr>
            <w:tcW w:w="1983" w:type="pct"/>
            <w:shd w:val="clear" w:color="auto" w:fill="auto"/>
            <w:tcMar>
              <w:top w:w="0" w:type="dxa"/>
              <w:bottom w:w="0" w:type="dxa"/>
            </w:tcMar>
            <w:vAlign w:val="center"/>
          </w:tcPr>
          <w:p w14:paraId="29600E4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Net revenue from insurance business activities</w:t>
            </w:r>
          </w:p>
        </w:tc>
        <w:tc>
          <w:tcPr>
            <w:tcW w:w="1405" w:type="pct"/>
            <w:shd w:val="clear" w:color="auto" w:fill="auto"/>
            <w:tcMar>
              <w:top w:w="0" w:type="dxa"/>
              <w:bottom w:w="0" w:type="dxa"/>
            </w:tcMar>
            <w:vAlign w:val="center"/>
          </w:tcPr>
          <w:p w14:paraId="65116B4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1,407,693,868,143</w:t>
            </w:r>
          </w:p>
        </w:tc>
        <w:tc>
          <w:tcPr>
            <w:tcW w:w="1253" w:type="pct"/>
            <w:shd w:val="clear" w:color="auto" w:fill="auto"/>
            <w:tcMar>
              <w:top w:w="0" w:type="dxa"/>
              <w:bottom w:w="0" w:type="dxa"/>
            </w:tcMar>
            <w:vAlign w:val="center"/>
          </w:tcPr>
          <w:p w14:paraId="684D4B5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1,199,428,178,827</w:t>
            </w:r>
          </w:p>
        </w:tc>
      </w:tr>
      <w:tr w:rsidR="00307FE3" w:rsidRPr="0071048B" w14:paraId="65ADF0CB" w14:textId="77777777" w:rsidTr="007565E6">
        <w:tc>
          <w:tcPr>
            <w:tcW w:w="360" w:type="pct"/>
            <w:shd w:val="clear" w:color="auto" w:fill="auto"/>
            <w:tcMar>
              <w:top w:w="0" w:type="dxa"/>
              <w:bottom w:w="0" w:type="dxa"/>
            </w:tcMar>
            <w:vAlign w:val="center"/>
          </w:tcPr>
          <w:p w14:paraId="1D4A5554"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4</w:t>
            </w:r>
          </w:p>
        </w:tc>
        <w:tc>
          <w:tcPr>
            <w:tcW w:w="1983" w:type="pct"/>
            <w:shd w:val="clear" w:color="auto" w:fill="auto"/>
            <w:tcMar>
              <w:top w:w="0" w:type="dxa"/>
              <w:bottom w:w="0" w:type="dxa"/>
            </w:tcMar>
            <w:vAlign w:val="center"/>
          </w:tcPr>
          <w:p w14:paraId="47B83C1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Revenue from financial activities</w:t>
            </w:r>
          </w:p>
        </w:tc>
        <w:tc>
          <w:tcPr>
            <w:tcW w:w="1405" w:type="pct"/>
            <w:shd w:val="clear" w:color="auto" w:fill="auto"/>
            <w:tcMar>
              <w:top w:w="0" w:type="dxa"/>
              <w:bottom w:w="0" w:type="dxa"/>
            </w:tcMar>
            <w:vAlign w:val="center"/>
          </w:tcPr>
          <w:p w14:paraId="01E5867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253,416,943,329</w:t>
            </w:r>
          </w:p>
        </w:tc>
        <w:tc>
          <w:tcPr>
            <w:tcW w:w="1253" w:type="pct"/>
            <w:shd w:val="clear" w:color="auto" w:fill="auto"/>
            <w:tcMar>
              <w:top w:w="0" w:type="dxa"/>
              <w:bottom w:w="0" w:type="dxa"/>
            </w:tcMar>
            <w:vAlign w:val="center"/>
          </w:tcPr>
          <w:p w14:paraId="5D64236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183,581,687,731</w:t>
            </w:r>
          </w:p>
        </w:tc>
      </w:tr>
      <w:tr w:rsidR="00307FE3" w:rsidRPr="0071048B" w14:paraId="47110E5A" w14:textId="77777777" w:rsidTr="007565E6">
        <w:tc>
          <w:tcPr>
            <w:tcW w:w="360" w:type="pct"/>
            <w:shd w:val="clear" w:color="auto" w:fill="auto"/>
            <w:tcMar>
              <w:top w:w="0" w:type="dxa"/>
              <w:bottom w:w="0" w:type="dxa"/>
            </w:tcMar>
            <w:vAlign w:val="center"/>
          </w:tcPr>
          <w:p w14:paraId="5CFB813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w:t>
            </w:r>
          </w:p>
        </w:tc>
        <w:tc>
          <w:tcPr>
            <w:tcW w:w="1983" w:type="pct"/>
            <w:shd w:val="clear" w:color="auto" w:fill="auto"/>
            <w:tcMar>
              <w:top w:w="0" w:type="dxa"/>
              <w:bottom w:w="0" w:type="dxa"/>
            </w:tcMar>
            <w:vAlign w:val="center"/>
          </w:tcPr>
          <w:p w14:paraId="3798591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profit before tax</w:t>
            </w:r>
          </w:p>
        </w:tc>
        <w:tc>
          <w:tcPr>
            <w:tcW w:w="1405" w:type="pct"/>
            <w:shd w:val="clear" w:color="auto" w:fill="auto"/>
            <w:tcMar>
              <w:top w:w="0" w:type="dxa"/>
              <w:bottom w:w="0" w:type="dxa"/>
            </w:tcMar>
            <w:vAlign w:val="center"/>
          </w:tcPr>
          <w:p w14:paraId="6A9FBAB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256,399,294,893</w:t>
            </w:r>
          </w:p>
        </w:tc>
        <w:tc>
          <w:tcPr>
            <w:tcW w:w="1253" w:type="pct"/>
            <w:shd w:val="clear" w:color="auto" w:fill="auto"/>
            <w:tcMar>
              <w:top w:w="0" w:type="dxa"/>
              <w:bottom w:w="0" w:type="dxa"/>
            </w:tcMar>
            <w:vAlign w:val="center"/>
          </w:tcPr>
          <w:p w14:paraId="0CCA46F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190,280,856,225</w:t>
            </w:r>
          </w:p>
        </w:tc>
      </w:tr>
      <w:tr w:rsidR="00307FE3" w:rsidRPr="0071048B" w14:paraId="3CBE9C9B" w14:textId="77777777" w:rsidTr="007565E6">
        <w:tc>
          <w:tcPr>
            <w:tcW w:w="360" w:type="pct"/>
            <w:shd w:val="clear" w:color="auto" w:fill="auto"/>
            <w:tcMar>
              <w:top w:w="0" w:type="dxa"/>
              <w:bottom w:w="0" w:type="dxa"/>
            </w:tcMar>
            <w:vAlign w:val="center"/>
          </w:tcPr>
          <w:p w14:paraId="74607B5E"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6</w:t>
            </w:r>
          </w:p>
        </w:tc>
        <w:tc>
          <w:tcPr>
            <w:tcW w:w="1983" w:type="pct"/>
            <w:shd w:val="clear" w:color="auto" w:fill="auto"/>
            <w:tcMar>
              <w:top w:w="0" w:type="dxa"/>
              <w:bottom w:w="0" w:type="dxa"/>
            </w:tcMar>
            <w:vAlign w:val="center"/>
          </w:tcPr>
          <w:p w14:paraId="3469BBD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Profit after tax</w:t>
            </w:r>
          </w:p>
        </w:tc>
        <w:tc>
          <w:tcPr>
            <w:tcW w:w="1405" w:type="pct"/>
            <w:shd w:val="clear" w:color="auto" w:fill="auto"/>
            <w:tcMar>
              <w:top w:w="0" w:type="dxa"/>
              <w:bottom w:w="0" w:type="dxa"/>
            </w:tcMar>
            <w:vAlign w:val="center"/>
          </w:tcPr>
          <w:p w14:paraId="5757CFC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202,161,683,285</w:t>
            </w:r>
          </w:p>
        </w:tc>
        <w:tc>
          <w:tcPr>
            <w:tcW w:w="1253" w:type="pct"/>
            <w:shd w:val="clear" w:color="auto" w:fill="auto"/>
            <w:tcMar>
              <w:top w:w="0" w:type="dxa"/>
              <w:bottom w:w="0" w:type="dxa"/>
            </w:tcMar>
            <w:vAlign w:val="center"/>
          </w:tcPr>
          <w:p w14:paraId="5ECB6A6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152,660,671,391</w:t>
            </w:r>
          </w:p>
        </w:tc>
      </w:tr>
    </w:tbl>
    <w:p w14:paraId="778ACB4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Article 4: Approve the profit distribution plan 2023 and the profit distribution plan 2024 with the following </w:t>
      </w:r>
      <w:r w:rsidRPr="0071048B">
        <w:rPr>
          <w:rFonts w:ascii="Arial" w:hAnsi="Arial" w:cs="Arial"/>
          <w:color w:val="010000"/>
          <w:sz w:val="20"/>
        </w:rPr>
        <w:lastRenderedPageBreak/>
        <w:t>main targets:</w:t>
      </w:r>
    </w:p>
    <w:p w14:paraId="22A69036" w14:textId="77777777" w:rsidR="00307FE3" w:rsidRPr="0071048B" w:rsidRDefault="0071048B" w:rsidP="00764F72">
      <w:pPr>
        <w:numPr>
          <w:ilvl w:val="0"/>
          <w:numId w:val="7"/>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71048B">
        <w:rPr>
          <w:rFonts w:ascii="Arial" w:hAnsi="Arial" w:cs="Arial"/>
          <w:color w:val="010000"/>
          <w:sz w:val="20"/>
        </w:rPr>
        <w:t>Profit distribution plan 2023:</w:t>
      </w:r>
    </w:p>
    <w:p w14:paraId="6AF71A7E"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Unit: VND</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1"/>
        <w:gridCol w:w="4009"/>
        <w:gridCol w:w="2146"/>
        <w:gridCol w:w="2474"/>
      </w:tblGrid>
      <w:tr w:rsidR="00307FE3" w:rsidRPr="0071048B" w14:paraId="21C1F31F" w14:textId="77777777" w:rsidTr="007565E6">
        <w:trPr>
          <w:jc w:val="center"/>
        </w:trPr>
        <w:tc>
          <w:tcPr>
            <w:tcW w:w="211" w:type="pct"/>
            <w:shd w:val="clear" w:color="auto" w:fill="auto"/>
            <w:tcMar>
              <w:top w:w="0" w:type="dxa"/>
              <w:bottom w:w="0" w:type="dxa"/>
            </w:tcMar>
            <w:vAlign w:val="center"/>
          </w:tcPr>
          <w:p w14:paraId="24C03A6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No.</w:t>
            </w:r>
          </w:p>
        </w:tc>
        <w:tc>
          <w:tcPr>
            <w:tcW w:w="2224" w:type="pct"/>
            <w:shd w:val="clear" w:color="auto" w:fill="auto"/>
            <w:tcMar>
              <w:top w:w="0" w:type="dxa"/>
              <w:bottom w:w="0" w:type="dxa"/>
            </w:tcMar>
            <w:vAlign w:val="center"/>
          </w:tcPr>
          <w:p w14:paraId="7D8E3BB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Target</w:t>
            </w:r>
          </w:p>
        </w:tc>
        <w:tc>
          <w:tcPr>
            <w:tcW w:w="1191" w:type="pct"/>
            <w:shd w:val="clear" w:color="auto" w:fill="auto"/>
            <w:tcMar>
              <w:top w:w="0" w:type="dxa"/>
              <w:bottom w:w="0" w:type="dxa"/>
            </w:tcMar>
            <w:vAlign w:val="center"/>
          </w:tcPr>
          <w:p w14:paraId="5496C13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Plan</w:t>
            </w:r>
          </w:p>
        </w:tc>
        <w:tc>
          <w:tcPr>
            <w:tcW w:w="1373" w:type="pct"/>
            <w:shd w:val="clear" w:color="auto" w:fill="auto"/>
            <w:tcMar>
              <w:top w:w="0" w:type="dxa"/>
              <w:bottom w:w="0" w:type="dxa"/>
            </w:tcMar>
            <w:vAlign w:val="center"/>
          </w:tcPr>
          <w:p w14:paraId="367E2E4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Results</w:t>
            </w:r>
          </w:p>
        </w:tc>
      </w:tr>
      <w:tr w:rsidR="00307FE3" w:rsidRPr="0071048B" w14:paraId="763DB388" w14:textId="77777777" w:rsidTr="007565E6">
        <w:trPr>
          <w:jc w:val="center"/>
        </w:trPr>
        <w:tc>
          <w:tcPr>
            <w:tcW w:w="211" w:type="pct"/>
            <w:shd w:val="clear" w:color="auto" w:fill="auto"/>
            <w:tcMar>
              <w:top w:w="0" w:type="dxa"/>
              <w:bottom w:w="0" w:type="dxa"/>
            </w:tcMar>
            <w:vAlign w:val="center"/>
          </w:tcPr>
          <w:p w14:paraId="2898AEE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w:t>
            </w:r>
          </w:p>
        </w:tc>
        <w:tc>
          <w:tcPr>
            <w:tcW w:w="2224" w:type="pct"/>
            <w:shd w:val="clear" w:color="auto" w:fill="auto"/>
            <w:tcMar>
              <w:top w:w="0" w:type="dxa"/>
              <w:bottom w:w="0" w:type="dxa"/>
            </w:tcMar>
            <w:vAlign w:val="center"/>
          </w:tcPr>
          <w:p w14:paraId="04798D3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profit before tax</w:t>
            </w:r>
          </w:p>
        </w:tc>
        <w:tc>
          <w:tcPr>
            <w:tcW w:w="1191" w:type="pct"/>
            <w:shd w:val="clear" w:color="auto" w:fill="auto"/>
            <w:tcMar>
              <w:top w:w="0" w:type="dxa"/>
              <w:bottom w:w="0" w:type="dxa"/>
            </w:tcMar>
            <w:vAlign w:val="center"/>
          </w:tcPr>
          <w:p w14:paraId="462B0F2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223,300,000,000</w:t>
            </w:r>
          </w:p>
        </w:tc>
        <w:tc>
          <w:tcPr>
            <w:tcW w:w="1373" w:type="pct"/>
            <w:shd w:val="clear" w:color="auto" w:fill="auto"/>
            <w:tcMar>
              <w:top w:w="0" w:type="dxa"/>
              <w:bottom w:w="0" w:type="dxa"/>
            </w:tcMar>
            <w:vAlign w:val="center"/>
          </w:tcPr>
          <w:p w14:paraId="7CF24B3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256,399,294,893</w:t>
            </w:r>
          </w:p>
        </w:tc>
      </w:tr>
      <w:tr w:rsidR="00307FE3" w:rsidRPr="0071048B" w14:paraId="34B80B91" w14:textId="77777777" w:rsidTr="007565E6">
        <w:trPr>
          <w:jc w:val="center"/>
        </w:trPr>
        <w:tc>
          <w:tcPr>
            <w:tcW w:w="211" w:type="pct"/>
            <w:shd w:val="clear" w:color="auto" w:fill="auto"/>
            <w:tcMar>
              <w:top w:w="0" w:type="dxa"/>
              <w:bottom w:w="0" w:type="dxa"/>
            </w:tcMar>
            <w:vAlign w:val="center"/>
          </w:tcPr>
          <w:p w14:paraId="381D6E2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w:t>
            </w:r>
          </w:p>
        </w:tc>
        <w:tc>
          <w:tcPr>
            <w:tcW w:w="2224" w:type="pct"/>
            <w:shd w:val="clear" w:color="auto" w:fill="auto"/>
            <w:tcMar>
              <w:top w:w="0" w:type="dxa"/>
              <w:bottom w:w="0" w:type="dxa"/>
            </w:tcMar>
            <w:vAlign w:val="center"/>
          </w:tcPr>
          <w:p w14:paraId="5C17B0D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Current corporate income tax expense</w:t>
            </w:r>
          </w:p>
        </w:tc>
        <w:tc>
          <w:tcPr>
            <w:tcW w:w="1191" w:type="pct"/>
            <w:shd w:val="clear" w:color="auto" w:fill="auto"/>
            <w:tcMar>
              <w:top w:w="0" w:type="dxa"/>
              <w:bottom w:w="0" w:type="dxa"/>
            </w:tcMar>
            <w:vAlign w:val="center"/>
          </w:tcPr>
          <w:p w14:paraId="13E85724"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44,660,000,000</w:t>
            </w:r>
          </w:p>
        </w:tc>
        <w:tc>
          <w:tcPr>
            <w:tcW w:w="1373" w:type="pct"/>
            <w:shd w:val="clear" w:color="auto" w:fill="auto"/>
            <w:tcMar>
              <w:top w:w="0" w:type="dxa"/>
              <w:bottom w:w="0" w:type="dxa"/>
            </w:tcMar>
            <w:vAlign w:val="center"/>
          </w:tcPr>
          <w:p w14:paraId="5363BF8B"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54,237,611,608</w:t>
            </w:r>
          </w:p>
        </w:tc>
      </w:tr>
      <w:tr w:rsidR="00307FE3" w:rsidRPr="0071048B" w14:paraId="303109FA" w14:textId="77777777" w:rsidTr="007565E6">
        <w:trPr>
          <w:jc w:val="center"/>
        </w:trPr>
        <w:tc>
          <w:tcPr>
            <w:tcW w:w="211" w:type="pct"/>
            <w:shd w:val="clear" w:color="auto" w:fill="auto"/>
            <w:tcMar>
              <w:top w:w="0" w:type="dxa"/>
              <w:bottom w:w="0" w:type="dxa"/>
            </w:tcMar>
            <w:vAlign w:val="center"/>
          </w:tcPr>
          <w:p w14:paraId="13A08BE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3</w:t>
            </w:r>
          </w:p>
        </w:tc>
        <w:tc>
          <w:tcPr>
            <w:tcW w:w="2224" w:type="pct"/>
            <w:shd w:val="clear" w:color="auto" w:fill="auto"/>
            <w:tcMar>
              <w:top w:w="0" w:type="dxa"/>
              <w:bottom w:w="0" w:type="dxa"/>
            </w:tcMar>
            <w:vAlign w:val="center"/>
          </w:tcPr>
          <w:p w14:paraId="1122CDD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Profit after tax</w:t>
            </w:r>
          </w:p>
        </w:tc>
        <w:tc>
          <w:tcPr>
            <w:tcW w:w="1191" w:type="pct"/>
            <w:shd w:val="clear" w:color="auto" w:fill="auto"/>
            <w:tcMar>
              <w:top w:w="0" w:type="dxa"/>
              <w:bottom w:w="0" w:type="dxa"/>
            </w:tcMar>
            <w:vAlign w:val="center"/>
          </w:tcPr>
          <w:p w14:paraId="7F3EA2A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178,640,000,000</w:t>
            </w:r>
          </w:p>
        </w:tc>
        <w:tc>
          <w:tcPr>
            <w:tcW w:w="1373" w:type="pct"/>
            <w:shd w:val="clear" w:color="auto" w:fill="auto"/>
            <w:tcMar>
              <w:top w:w="0" w:type="dxa"/>
              <w:bottom w:w="0" w:type="dxa"/>
            </w:tcMar>
            <w:vAlign w:val="center"/>
          </w:tcPr>
          <w:p w14:paraId="20F3488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202,161,683,285</w:t>
            </w:r>
          </w:p>
        </w:tc>
      </w:tr>
      <w:tr w:rsidR="00307FE3" w:rsidRPr="0071048B" w14:paraId="4001C973" w14:textId="77777777" w:rsidTr="007565E6">
        <w:trPr>
          <w:jc w:val="center"/>
        </w:trPr>
        <w:tc>
          <w:tcPr>
            <w:tcW w:w="211" w:type="pct"/>
            <w:shd w:val="clear" w:color="auto" w:fill="auto"/>
            <w:tcMar>
              <w:top w:w="0" w:type="dxa"/>
              <w:bottom w:w="0" w:type="dxa"/>
            </w:tcMar>
            <w:vAlign w:val="center"/>
          </w:tcPr>
          <w:p w14:paraId="64588D7E"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4</w:t>
            </w:r>
          </w:p>
        </w:tc>
        <w:tc>
          <w:tcPr>
            <w:tcW w:w="2224" w:type="pct"/>
            <w:shd w:val="clear" w:color="auto" w:fill="auto"/>
            <w:tcMar>
              <w:top w:w="0" w:type="dxa"/>
              <w:bottom w:w="0" w:type="dxa"/>
            </w:tcMar>
            <w:vAlign w:val="center"/>
          </w:tcPr>
          <w:p w14:paraId="3438F42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compulsory reserve fund</w:t>
            </w:r>
          </w:p>
        </w:tc>
        <w:tc>
          <w:tcPr>
            <w:tcW w:w="1191" w:type="pct"/>
            <w:shd w:val="clear" w:color="auto" w:fill="auto"/>
            <w:tcMar>
              <w:top w:w="0" w:type="dxa"/>
              <w:bottom w:w="0" w:type="dxa"/>
            </w:tcMar>
            <w:vAlign w:val="center"/>
          </w:tcPr>
          <w:p w14:paraId="07FBBD7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5% of profit after tax</w:t>
            </w:r>
          </w:p>
        </w:tc>
        <w:tc>
          <w:tcPr>
            <w:tcW w:w="1373" w:type="pct"/>
            <w:shd w:val="clear" w:color="auto" w:fill="auto"/>
            <w:tcMar>
              <w:top w:w="0" w:type="dxa"/>
              <w:bottom w:w="0" w:type="dxa"/>
            </w:tcMar>
            <w:vAlign w:val="center"/>
          </w:tcPr>
          <w:p w14:paraId="5FA109C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9,924,894,203</w:t>
            </w:r>
          </w:p>
        </w:tc>
      </w:tr>
      <w:tr w:rsidR="00307FE3" w:rsidRPr="0071048B" w14:paraId="4FAB903F" w14:textId="77777777" w:rsidTr="007565E6">
        <w:trPr>
          <w:jc w:val="center"/>
        </w:trPr>
        <w:tc>
          <w:tcPr>
            <w:tcW w:w="211" w:type="pct"/>
            <w:shd w:val="clear" w:color="auto" w:fill="auto"/>
            <w:tcMar>
              <w:top w:w="0" w:type="dxa"/>
              <w:bottom w:w="0" w:type="dxa"/>
            </w:tcMar>
            <w:vAlign w:val="center"/>
          </w:tcPr>
          <w:p w14:paraId="1F9A21A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w:t>
            </w:r>
          </w:p>
        </w:tc>
        <w:tc>
          <w:tcPr>
            <w:tcW w:w="2224" w:type="pct"/>
            <w:shd w:val="clear" w:color="auto" w:fill="auto"/>
            <w:tcMar>
              <w:top w:w="0" w:type="dxa"/>
              <w:bottom w:w="0" w:type="dxa"/>
            </w:tcMar>
            <w:vAlign w:val="center"/>
          </w:tcPr>
          <w:p w14:paraId="770A24E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Undistributed interest on exchange rate differences at the end of the period </w:t>
            </w:r>
          </w:p>
        </w:tc>
        <w:tc>
          <w:tcPr>
            <w:tcW w:w="1191" w:type="pct"/>
            <w:shd w:val="clear" w:color="auto" w:fill="auto"/>
            <w:tcMar>
              <w:top w:w="0" w:type="dxa"/>
              <w:bottom w:w="0" w:type="dxa"/>
            </w:tcMar>
            <w:vAlign w:val="center"/>
          </w:tcPr>
          <w:p w14:paraId="5B36FAA6" w14:textId="77777777" w:rsidR="00307FE3" w:rsidRPr="0071048B" w:rsidRDefault="00307FE3" w:rsidP="00764F72">
            <w:pPr>
              <w:tabs>
                <w:tab w:val="left" w:pos="432"/>
              </w:tabs>
              <w:spacing w:after="120" w:line="360" w:lineRule="auto"/>
              <w:jc w:val="both"/>
              <w:rPr>
                <w:rFonts w:ascii="Arial" w:eastAsia="Arial" w:hAnsi="Arial" w:cs="Arial"/>
                <w:color w:val="010000"/>
                <w:sz w:val="20"/>
              </w:rPr>
            </w:pPr>
          </w:p>
        </w:tc>
        <w:tc>
          <w:tcPr>
            <w:tcW w:w="1373" w:type="pct"/>
            <w:shd w:val="clear" w:color="auto" w:fill="auto"/>
            <w:tcMar>
              <w:top w:w="0" w:type="dxa"/>
              <w:bottom w:w="0" w:type="dxa"/>
            </w:tcMar>
            <w:vAlign w:val="center"/>
          </w:tcPr>
          <w:p w14:paraId="673AA3D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395,634,495</w:t>
            </w:r>
          </w:p>
        </w:tc>
      </w:tr>
      <w:tr w:rsidR="00307FE3" w:rsidRPr="0071048B" w14:paraId="09D68B38" w14:textId="77777777" w:rsidTr="007565E6">
        <w:trPr>
          <w:jc w:val="center"/>
        </w:trPr>
        <w:tc>
          <w:tcPr>
            <w:tcW w:w="211" w:type="pct"/>
            <w:shd w:val="clear" w:color="auto" w:fill="auto"/>
            <w:tcMar>
              <w:top w:w="0" w:type="dxa"/>
              <w:bottom w:w="0" w:type="dxa"/>
            </w:tcMar>
            <w:vAlign w:val="center"/>
          </w:tcPr>
          <w:p w14:paraId="03C99C61"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6</w:t>
            </w:r>
          </w:p>
        </w:tc>
        <w:tc>
          <w:tcPr>
            <w:tcW w:w="2224" w:type="pct"/>
            <w:shd w:val="clear" w:color="auto" w:fill="auto"/>
            <w:tcMar>
              <w:top w:w="0" w:type="dxa"/>
              <w:bottom w:w="0" w:type="dxa"/>
            </w:tcMar>
            <w:vAlign w:val="center"/>
          </w:tcPr>
          <w:p w14:paraId="6880E06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Distributable profit after tax</w:t>
            </w:r>
          </w:p>
          <w:p w14:paraId="332D748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(6) = (3)-(4)-(5)</w:t>
            </w:r>
          </w:p>
        </w:tc>
        <w:tc>
          <w:tcPr>
            <w:tcW w:w="1191" w:type="pct"/>
            <w:shd w:val="clear" w:color="auto" w:fill="auto"/>
            <w:tcMar>
              <w:top w:w="0" w:type="dxa"/>
              <w:bottom w:w="0" w:type="dxa"/>
            </w:tcMar>
            <w:vAlign w:val="center"/>
          </w:tcPr>
          <w:p w14:paraId="71DB75B1" w14:textId="77777777" w:rsidR="00307FE3" w:rsidRPr="0071048B" w:rsidRDefault="00307FE3" w:rsidP="00764F72">
            <w:pPr>
              <w:tabs>
                <w:tab w:val="left" w:pos="432"/>
              </w:tabs>
              <w:spacing w:after="120" w:line="360" w:lineRule="auto"/>
              <w:jc w:val="both"/>
              <w:rPr>
                <w:rFonts w:ascii="Arial" w:eastAsia="Arial" w:hAnsi="Arial" w:cs="Arial"/>
                <w:color w:val="010000"/>
                <w:sz w:val="20"/>
              </w:rPr>
            </w:pPr>
          </w:p>
        </w:tc>
        <w:tc>
          <w:tcPr>
            <w:tcW w:w="1373" w:type="pct"/>
            <w:shd w:val="clear" w:color="auto" w:fill="auto"/>
            <w:tcMar>
              <w:top w:w="0" w:type="dxa"/>
              <w:bottom w:w="0" w:type="dxa"/>
            </w:tcMar>
            <w:vAlign w:val="center"/>
          </w:tcPr>
          <w:p w14:paraId="0B3EF8A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191,841,154,587</w:t>
            </w:r>
          </w:p>
        </w:tc>
      </w:tr>
      <w:tr w:rsidR="00307FE3" w:rsidRPr="0071048B" w14:paraId="0FE19B5F" w14:textId="77777777" w:rsidTr="007565E6">
        <w:trPr>
          <w:jc w:val="center"/>
        </w:trPr>
        <w:tc>
          <w:tcPr>
            <w:tcW w:w="211" w:type="pct"/>
            <w:shd w:val="clear" w:color="auto" w:fill="auto"/>
            <w:tcMar>
              <w:top w:w="0" w:type="dxa"/>
              <w:bottom w:w="0" w:type="dxa"/>
            </w:tcMar>
            <w:vAlign w:val="center"/>
          </w:tcPr>
          <w:p w14:paraId="06A7A7A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7</w:t>
            </w:r>
          </w:p>
        </w:tc>
        <w:tc>
          <w:tcPr>
            <w:tcW w:w="2224" w:type="pct"/>
            <w:shd w:val="clear" w:color="auto" w:fill="auto"/>
            <w:tcMar>
              <w:top w:w="0" w:type="dxa"/>
              <w:bottom w:w="0" w:type="dxa"/>
            </w:tcMar>
            <w:vAlign w:val="center"/>
          </w:tcPr>
          <w:p w14:paraId="68D88ADC"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welfare fund</w:t>
            </w:r>
          </w:p>
        </w:tc>
        <w:tc>
          <w:tcPr>
            <w:tcW w:w="1191" w:type="pct"/>
            <w:shd w:val="clear" w:color="auto" w:fill="auto"/>
            <w:tcMar>
              <w:top w:w="0" w:type="dxa"/>
              <w:bottom w:w="0" w:type="dxa"/>
            </w:tcMar>
            <w:vAlign w:val="center"/>
          </w:tcPr>
          <w:p w14:paraId="56541328"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 of profit after tax</w:t>
            </w:r>
          </w:p>
        </w:tc>
        <w:tc>
          <w:tcPr>
            <w:tcW w:w="1373" w:type="pct"/>
            <w:shd w:val="clear" w:color="auto" w:fill="auto"/>
            <w:tcMar>
              <w:top w:w="0" w:type="dxa"/>
              <w:bottom w:w="0" w:type="dxa"/>
            </w:tcMar>
            <w:vAlign w:val="center"/>
          </w:tcPr>
          <w:p w14:paraId="4372382B" w14:textId="1CE6F4EF"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 of profit after tax is equivalent to VND 2,021,616,833</w:t>
            </w:r>
          </w:p>
        </w:tc>
      </w:tr>
      <w:tr w:rsidR="00307FE3" w:rsidRPr="0071048B" w14:paraId="1538CE17" w14:textId="77777777" w:rsidTr="007565E6">
        <w:trPr>
          <w:jc w:val="center"/>
        </w:trPr>
        <w:tc>
          <w:tcPr>
            <w:tcW w:w="211" w:type="pct"/>
            <w:shd w:val="clear" w:color="auto" w:fill="auto"/>
            <w:tcMar>
              <w:top w:w="0" w:type="dxa"/>
              <w:bottom w:w="0" w:type="dxa"/>
            </w:tcMar>
            <w:vAlign w:val="center"/>
          </w:tcPr>
          <w:p w14:paraId="5D124581"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8</w:t>
            </w:r>
          </w:p>
        </w:tc>
        <w:tc>
          <w:tcPr>
            <w:tcW w:w="2224" w:type="pct"/>
            <w:shd w:val="clear" w:color="auto" w:fill="auto"/>
            <w:tcMar>
              <w:top w:w="0" w:type="dxa"/>
              <w:bottom w:w="0" w:type="dxa"/>
            </w:tcMar>
            <w:vAlign w:val="center"/>
          </w:tcPr>
          <w:p w14:paraId="2101565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bonus fund</w:t>
            </w:r>
          </w:p>
        </w:tc>
        <w:tc>
          <w:tcPr>
            <w:tcW w:w="1191" w:type="pct"/>
            <w:shd w:val="clear" w:color="auto" w:fill="auto"/>
            <w:tcMar>
              <w:top w:w="0" w:type="dxa"/>
              <w:bottom w:w="0" w:type="dxa"/>
            </w:tcMar>
            <w:vAlign w:val="center"/>
          </w:tcPr>
          <w:p w14:paraId="4B59C701" w14:textId="77C35D80"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2.5% of profit after tax</w:t>
            </w:r>
          </w:p>
        </w:tc>
        <w:tc>
          <w:tcPr>
            <w:tcW w:w="1373" w:type="pct"/>
            <w:shd w:val="clear" w:color="auto" w:fill="auto"/>
            <w:tcMar>
              <w:top w:w="0" w:type="dxa"/>
              <w:bottom w:w="0" w:type="dxa"/>
            </w:tcMar>
            <w:vAlign w:val="center"/>
          </w:tcPr>
          <w:p w14:paraId="4A5AB75A" w14:textId="634F2AFF"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2.5% of profit after tax is equivalent to VND 5,054,042,082</w:t>
            </w:r>
          </w:p>
        </w:tc>
      </w:tr>
      <w:tr w:rsidR="00307FE3" w:rsidRPr="0071048B" w14:paraId="58F19241" w14:textId="77777777" w:rsidTr="007565E6">
        <w:trPr>
          <w:jc w:val="center"/>
        </w:trPr>
        <w:tc>
          <w:tcPr>
            <w:tcW w:w="211" w:type="pct"/>
            <w:shd w:val="clear" w:color="auto" w:fill="auto"/>
            <w:tcMar>
              <w:top w:w="0" w:type="dxa"/>
              <w:bottom w:w="0" w:type="dxa"/>
            </w:tcMar>
            <w:vAlign w:val="center"/>
          </w:tcPr>
          <w:p w14:paraId="3F470C64"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9</w:t>
            </w:r>
          </w:p>
        </w:tc>
        <w:tc>
          <w:tcPr>
            <w:tcW w:w="2224" w:type="pct"/>
            <w:shd w:val="clear" w:color="auto" w:fill="auto"/>
            <w:tcMar>
              <w:top w:w="0" w:type="dxa"/>
              <w:bottom w:w="0" w:type="dxa"/>
            </w:tcMar>
            <w:vAlign w:val="center"/>
          </w:tcPr>
          <w:p w14:paraId="2C30F1F3" w14:textId="5415EE65"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Rate of dividend payment (to charter capital of VND 1,044,000,000,000) </w:t>
            </w:r>
          </w:p>
        </w:tc>
        <w:tc>
          <w:tcPr>
            <w:tcW w:w="1191" w:type="pct"/>
            <w:shd w:val="clear" w:color="auto" w:fill="auto"/>
            <w:tcMar>
              <w:top w:w="0" w:type="dxa"/>
              <w:bottom w:w="0" w:type="dxa"/>
            </w:tcMar>
            <w:vAlign w:val="center"/>
          </w:tcPr>
          <w:p w14:paraId="6CBECB9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16%</w:t>
            </w:r>
          </w:p>
        </w:tc>
        <w:tc>
          <w:tcPr>
            <w:tcW w:w="1373" w:type="pct"/>
            <w:shd w:val="clear" w:color="auto" w:fill="auto"/>
            <w:tcMar>
              <w:top w:w="0" w:type="dxa"/>
              <w:bottom w:w="0" w:type="dxa"/>
            </w:tcMar>
            <w:vAlign w:val="center"/>
          </w:tcPr>
          <w:p w14:paraId="53114785" w14:textId="6F315EFC"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rPr>
            </w:pPr>
            <w:r w:rsidRPr="0071048B">
              <w:rPr>
                <w:rFonts w:ascii="Arial" w:hAnsi="Arial" w:cs="Arial"/>
                <w:color w:val="010000"/>
                <w:sz w:val="20"/>
              </w:rPr>
              <w:t>16% is equivalent to VND 167,040,000,000</w:t>
            </w:r>
          </w:p>
        </w:tc>
      </w:tr>
    </w:tbl>
    <w:p w14:paraId="4684B8C1"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4.2. Profit distribution plan 2024:</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1"/>
        <w:gridCol w:w="4026"/>
        <w:gridCol w:w="4033"/>
      </w:tblGrid>
      <w:tr w:rsidR="00307FE3" w:rsidRPr="0071048B" w14:paraId="65776E28" w14:textId="77777777" w:rsidTr="007565E6">
        <w:trPr>
          <w:jc w:val="center"/>
        </w:trPr>
        <w:tc>
          <w:tcPr>
            <w:tcW w:w="528" w:type="pct"/>
            <w:shd w:val="clear" w:color="auto" w:fill="auto"/>
            <w:tcMar>
              <w:top w:w="0" w:type="dxa"/>
              <w:bottom w:w="0" w:type="dxa"/>
            </w:tcMar>
            <w:vAlign w:val="center"/>
          </w:tcPr>
          <w:p w14:paraId="6CB0A89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No.</w:t>
            </w:r>
          </w:p>
        </w:tc>
        <w:tc>
          <w:tcPr>
            <w:tcW w:w="2234" w:type="pct"/>
            <w:shd w:val="clear" w:color="auto" w:fill="auto"/>
            <w:tcMar>
              <w:top w:w="0" w:type="dxa"/>
              <w:bottom w:w="0" w:type="dxa"/>
            </w:tcMar>
            <w:vAlign w:val="center"/>
          </w:tcPr>
          <w:p w14:paraId="504098F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Target</w:t>
            </w:r>
          </w:p>
        </w:tc>
        <w:tc>
          <w:tcPr>
            <w:tcW w:w="2238" w:type="pct"/>
            <w:shd w:val="clear" w:color="auto" w:fill="auto"/>
            <w:tcMar>
              <w:top w:w="0" w:type="dxa"/>
              <w:bottom w:w="0" w:type="dxa"/>
            </w:tcMar>
            <w:vAlign w:val="center"/>
          </w:tcPr>
          <w:p w14:paraId="593871E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Value</w:t>
            </w:r>
          </w:p>
        </w:tc>
      </w:tr>
      <w:tr w:rsidR="00307FE3" w:rsidRPr="0071048B" w14:paraId="75DD5980" w14:textId="77777777" w:rsidTr="007565E6">
        <w:trPr>
          <w:jc w:val="center"/>
        </w:trPr>
        <w:tc>
          <w:tcPr>
            <w:tcW w:w="528" w:type="pct"/>
            <w:shd w:val="clear" w:color="auto" w:fill="auto"/>
            <w:tcMar>
              <w:top w:w="0" w:type="dxa"/>
              <w:bottom w:w="0" w:type="dxa"/>
            </w:tcMar>
            <w:vAlign w:val="center"/>
          </w:tcPr>
          <w:p w14:paraId="31C9E54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w:t>
            </w:r>
          </w:p>
        </w:tc>
        <w:tc>
          <w:tcPr>
            <w:tcW w:w="2234" w:type="pct"/>
            <w:shd w:val="clear" w:color="auto" w:fill="auto"/>
            <w:tcMar>
              <w:top w:w="0" w:type="dxa"/>
              <w:bottom w:w="0" w:type="dxa"/>
            </w:tcMar>
            <w:vAlign w:val="center"/>
          </w:tcPr>
          <w:p w14:paraId="296E7C9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profit before tax</w:t>
            </w:r>
          </w:p>
        </w:tc>
        <w:tc>
          <w:tcPr>
            <w:tcW w:w="2238" w:type="pct"/>
            <w:shd w:val="clear" w:color="auto" w:fill="auto"/>
            <w:tcMar>
              <w:top w:w="0" w:type="dxa"/>
              <w:bottom w:w="0" w:type="dxa"/>
            </w:tcMar>
            <w:vAlign w:val="center"/>
          </w:tcPr>
          <w:p w14:paraId="0EAF4B03"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VND 240.1 billion</w:t>
            </w:r>
          </w:p>
        </w:tc>
      </w:tr>
      <w:tr w:rsidR="00307FE3" w:rsidRPr="0071048B" w14:paraId="43B0888F" w14:textId="77777777" w:rsidTr="007565E6">
        <w:trPr>
          <w:jc w:val="center"/>
        </w:trPr>
        <w:tc>
          <w:tcPr>
            <w:tcW w:w="528" w:type="pct"/>
            <w:shd w:val="clear" w:color="auto" w:fill="auto"/>
            <w:tcMar>
              <w:top w:w="0" w:type="dxa"/>
              <w:bottom w:w="0" w:type="dxa"/>
            </w:tcMar>
            <w:vAlign w:val="center"/>
          </w:tcPr>
          <w:p w14:paraId="47BF722B"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w:t>
            </w:r>
          </w:p>
        </w:tc>
        <w:tc>
          <w:tcPr>
            <w:tcW w:w="2234" w:type="pct"/>
            <w:shd w:val="clear" w:color="auto" w:fill="auto"/>
            <w:tcMar>
              <w:top w:w="0" w:type="dxa"/>
              <w:bottom w:w="0" w:type="dxa"/>
            </w:tcMar>
            <w:vAlign w:val="center"/>
          </w:tcPr>
          <w:p w14:paraId="168BC06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Current corporate income tax expense</w:t>
            </w:r>
          </w:p>
        </w:tc>
        <w:tc>
          <w:tcPr>
            <w:tcW w:w="2238" w:type="pct"/>
            <w:shd w:val="clear" w:color="auto" w:fill="auto"/>
            <w:tcMar>
              <w:top w:w="0" w:type="dxa"/>
              <w:bottom w:w="0" w:type="dxa"/>
            </w:tcMar>
            <w:vAlign w:val="center"/>
          </w:tcPr>
          <w:p w14:paraId="0A60EEA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Following the current regulations</w:t>
            </w:r>
          </w:p>
        </w:tc>
      </w:tr>
      <w:tr w:rsidR="00307FE3" w:rsidRPr="0071048B" w14:paraId="630B3751" w14:textId="77777777" w:rsidTr="007565E6">
        <w:trPr>
          <w:jc w:val="center"/>
        </w:trPr>
        <w:tc>
          <w:tcPr>
            <w:tcW w:w="528" w:type="pct"/>
            <w:shd w:val="clear" w:color="auto" w:fill="auto"/>
            <w:tcMar>
              <w:top w:w="0" w:type="dxa"/>
              <w:bottom w:w="0" w:type="dxa"/>
            </w:tcMar>
            <w:vAlign w:val="center"/>
          </w:tcPr>
          <w:p w14:paraId="6673B482"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3</w:t>
            </w:r>
          </w:p>
        </w:tc>
        <w:tc>
          <w:tcPr>
            <w:tcW w:w="2234" w:type="pct"/>
            <w:shd w:val="clear" w:color="auto" w:fill="auto"/>
            <w:tcMar>
              <w:top w:w="0" w:type="dxa"/>
              <w:bottom w:w="0" w:type="dxa"/>
            </w:tcMar>
            <w:vAlign w:val="center"/>
          </w:tcPr>
          <w:p w14:paraId="7FE0C1E7"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compulsory reserve fund</w:t>
            </w:r>
          </w:p>
        </w:tc>
        <w:tc>
          <w:tcPr>
            <w:tcW w:w="2238" w:type="pct"/>
            <w:shd w:val="clear" w:color="auto" w:fill="auto"/>
            <w:tcMar>
              <w:top w:w="0" w:type="dxa"/>
              <w:bottom w:w="0" w:type="dxa"/>
            </w:tcMar>
            <w:vAlign w:val="center"/>
          </w:tcPr>
          <w:p w14:paraId="6C7BC39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 of profit after tax</w:t>
            </w:r>
          </w:p>
        </w:tc>
      </w:tr>
      <w:tr w:rsidR="00307FE3" w:rsidRPr="0071048B" w14:paraId="11D62719" w14:textId="77777777" w:rsidTr="007565E6">
        <w:trPr>
          <w:jc w:val="center"/>
        </w:trPr>
        <w:tc>
          <w:tcPr>
            <w:tcW w:w="528" w:type="pct"/>
            <w:shd w:val="clear" w:color="auto" w:fill="auto"/>
            <w:tcMar>
              <w:top w:w="0" w:type="dxa"/>
              <w:bottom w:w="0" w:type="dxa"/>
            </w:tcMar>
            <w:vAlign w:val="center"/>
          </w:tcPr>
          <w:p w14:paraId="405618E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4</w:t>
            </w:r>
          </w:p>
        </w:tc>
        <w:tc>
          <w:tcPr>
            <w:tcW w:w="2234" w:type="pct"/>
            <w:shd w:val="clear" w:color="auto" w:fill="auto"/>
            <w:tcMar>
              <w:top w:w="0" w:type="dxa"/>
              <w:bottom w:w="0" w:type="dxa"/>
            </w:tcMar>
            <w:vAlign w:val="center"/>
          </w:tcPr>
          <w:p w14:paraId="420761F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Dividend payment</w:t>
            </w:r>
          </w:p>
        </w:tc>
        <w:tc>
          <w:tcPr>
            <w:tcW w:w="2238" w:type="pct"/>
            <w:shd w:val="clear" w:color="auto" w:fill="auto"/>
            <w:tcMar>
              <w:top w:w="0" w:type="dxa"/>
              <w:bottom w:w="0" w:type="dxa"/>
            </w:tcMar>
            <w:vAlign w:val="center"/>
          </w:tcPr>
          <w:p w14:paraId="2FD4CD56" w14:textId="6867747A"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16% of charter capital being VND 1,044,000,000,000</w:t>
            </w:r>
          </w:p>
        </w:tc>
      </w:tr>
      <w:tr w:rsidR="00307FE3" w:rsidRPr="0071048B" w14:paraId="7770A70A" w14:textId="77777777" w:rsidTr="007565E6">
        <w:trPr>
          <w:jc w:val="center"/>
        </w:trPr>
        <w:tc>
          <w:tcPr>
            <w:tcW w:w="528" w:type="pct"/>
            <w:shd w:val="clear" w:color="auto" w:fill="auto"/>
            <w:tcMar>
              <w:top w:w="0" w:type="dxa"/>
              <w:bottom w:w="0" w:type="dxa"/>
            </w:tcMar>
            <w:vAlign w:val="center"/>
          </w:tcPr>
          <w:p w14:paraId="5FA6AF2A"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5</w:t>
            </w:r>
          </w:p>
        </w:tc>
        <w:tc>
          <w:tcPr>
            <w:tcW w:w="2234" w:type="pct"/>
            <w:shd w:val="clear" w:color="auto" w:fill="auto"/>
            <w:tcMar>
              <w:top w:w="0" w:type="dxa"/>
              <w:bottom w:w="0" w:type="dxa"/>
            </w:tcMar>
            <w:vAlign w:val="center"/>
          </w:tcPr>
          <w:p w14:paraId="189ACA3B"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welfare fund</w:t>
            </w:r>
          </w:p>
        </w:tc>
        <w:tc>
          <w:tcPr>
            <w:tcW w:w="2238" w:type="pct"/>
            <w:shd w:val="clear" w:color="auto" w:fill="auto"/>
            <w:tcMar>
              <w:top w:w="0" w:type="dxa"/>
              <w:bottom w:w="0" w:type="dxa"/>
            </w:tcMar>
            <w:vAlign w:val="center"/>
          </w:tcPr>
          <w:p w14:paraId="054D097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1% of profit after tax</w:t>
            </w:r>
          </w:p>
        </w:tc>
      </w:tr>
      <w:tr w:rsidR="00307FE3" w:rsidRPr="0071048B" w14:paraId="0FAACBDA" w14:textId="77777777" w:rsidTr="007565E6">
        <w:trPr>
          <w:jc w:val="center"/>
        </w:trPr>
        <w:tc>
          <w:tcPr>
            <w:tcW w:w="528" w:type="pct"/>
            <w:shd w:val="clear" w:color="auto" w:fill="auto"/>
            <w:tcMar>
              <w:top w:w="0" w:type="dxa"/>
              <w:bottom w:w="0" w:type="dxa"/>
            </w:tcMar>
            <w:vAlign w:val="center"/>
          </w:tcPr>
          <w:p w14:paraId="37C52D29"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6</w:t>
            </w:r>
          </w:p>
        </w:tc>
        <w:tc>
          <w:tcPr>
            <w:tcW w:w="2234" w:type="pct"/>
            <w:shd w:val="clear" w:color="auto" w:fill="auto"/>
            <w:tcMar>
              <w:top w:w="0" w:type="dxa"/>
              <w:bottom w:w="0" w:type="dxa"/>
            </w:tcMar>
            <w:vAlign w:val="center"/>
          </w:tcPr>
          <w:p w14:paraId="2262418F"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Appropriation for bonus fund</w:t>
            </w:r>
          </w:p>
        </w:tc>
        <w:tc>
          <w:tcPr>
            <w:tcW w:w="2238" w:type="pct"/>
            <w:shd w:val="clear" w:color="auto" w:fill="auto"/>
            <w:tcMar>
              <w:top w:w="0" w:type="dxa"/>
              <w:bottom w:w="0" w:type="dxa"/>
            </w:tcMar>
            <w:vAlign w:val="center"/>
          </w:tcPr>
          <w:p w14:paraId="2E79BF4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2.5% of profit after tax</w:t>
            </w:r>
          </w:p>
        </w:tc>
      </w:tr>
    </w:tbl>
    <w:p w14:paraId="0F718DF6"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5: Approve the plan on selecting Deloitte Vietnam Audit Company Limited as an independent audit company to audit Hanoi Re's Financial Statements 2024.</w:t>
      </w:r>
    </w:p>
    <w:p w14:paraId="125FE1C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Article 6: Approve the remuneration plan for the Board of Directors in 2023 and the remuneration </w:t>
      </w:r>
      <w:r w:rsidRPr="0071048B">
        <w:rPr>
          <w:rFonts w:ascii="Arial" w:hAnsi="Arial" w:cs="Arial"/>
          <w:color w:val="010000"/>
          <w:sz w:val="20"/>
        </w:rPr>
        <w:lastRenderedPageBreak/>
        <w:t>estimate for the Board of Directors in 2024 with the following main contents:</w:t>
      </w:r>
    </w:p>
    <w:p w14:paraId="03642BE4" w14:textId="77777777" w:rsidR="00307FE3" w:rsidRPr="0071048B" w:rsidRDefault="0071048B" w:rsidP="00764F72">
      <w:pPr>
        <w:keepNext/>
        <w:numPr>
          <w:ilvl w:val="0"/>
          <w:numId w:val="1"/>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Report on remuneration/salary for Hanoi Re's Board of Directors in 2023:</w:t>
      </w:r>
    </w:p>
    <w:p w14:paraId="34F47297" w14:textId="77777777" w:rsidR="00307FE3" w:rsidRPr="0071048B" w:rsidRDefault="0071048B" w:rsidP="00764F72">
      <w:pPr>
        <w:numPr>
          <w:ilvl w:val="0"/>
          <w:numId w:val="6"/>
        </w:numPr>
        <w:pBdr>
          <w:top w:val="nil"/>
          <w:left w:val="nil"/>
          <w:bottom w:val="nil"/>
          <w:right w:val="nil"/>
          <w:between w:val="nil"/>
        </w:pBdr>
        <w:tabs>
          <w:tab w:val="left" w:pos="432"/>
          <w:tab w:val="left" w:pos="1050"/>
        </w:tabs>
        <w:spacing w:after="120" w:line="360" w:lineRule="auto"/>
        <w:jc w:val="both"/>
        <w:rPr>
          <w:rFonts w:ascii="Arial" w:eastAsia="Arial" w:hAnsi="Arial" w:cs="Arial"/>
          <w:color w:val="010000"/>
          <w:sz w:val="20"/>
          <w:szCs w:val="20"/>
        </w:rPr>
      </w:pPr>
      <w:r w:rsidRPr="0071048B">
        <w:rPr>
          <w:rFonts w:ascii="Arial" w:hAnsi="Arial" w:cs="Arial"/>
          <w:color w:val="010000"/>
          <w:sz w:val="20"/>
        </w:rPr>
        <w:t>Number of members of the Board of Directors: 05 members.</w:t>
      </w:r>
    </w:p>
    <w:p w14:paraId="20DCDD81" w14:textId="77777777" w:rsidR="00307FE3" w:rsidRPr="0071048B" w:rsidRDefault="0071048B" w:rsidP="00764F72">
      <w:pPr>
        <w:numPr>
          <w:ilvl w:val="0"/>
          <w:numId w:val="6"/>
        </w:num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sidRPr="0071048B">
        <w:rPr>
          <w:rFonts w:ascii="Arial" w:hAnsi="Arial" w:cs="Arial"/>
          <w:color w:val="010000"/>
          <w:sz w:val="20"/>
        </w:rPr>
        <w:t>Total remuneration paid to members of the Board of Directors in 2023 is as follows: VND 900,000,000.</w:t>
      </w:r>
    </w:p>
    <w:p w14:paraId="542A5EC0" w14:textId="77777777" w:rsidR="00307FE3" w:rsidRPr="0071048B" w:rsidRDefault="0071048B" w:rsidP="00764F72">
      <w:pPr>
        <w:pBdr>
          <w:top w:val="nil"/>
          <w:left w:val="nil"/>
          <w:bottom w:val="nil"/>
          <w:right w:val="nil"/>
          <w:between w:val="nil"/>
        </w:pBdr>
        <w:tabs>
          <w:tab w:val="left" w:pos="432"/>
          <w:tab w:val="left" w:pos="1053"/>
        </w:tabs>
        <w:spacing w:after="120" w:line="360" w:lineRule="auto"/>
        <w:jc w:val="both"/>
        <w:rPr>
          <w:rFonts w:ascii="Arial" w:eastAsia="Arial" w:hAnsi="Arial" w:cs="Arial"/>
          <w:color w:val="010000"/>
          <w:sz w:val="20"/>
          <w:szCs w:val="20"/>
        </w:rPr>
      </w:pPr>
      <w:r w:rsidRPr="0071048B">
        <w:rPr>
          <w:rFonts w:ascii="Arial" w:hAnsi="Arial" w:cs="Arial"/>
          <w:color w:val="010000"/>
          <w:sz w:val="20"/>
        </w:rPr>
        <w:t>In 2023, members of the Board of Directors will receive additional salary for exceeding the planned profit in 2022 (accounted for expenses in 2023): VND 864,893.838.</w:t>
      </w:r>
    </w:p>
    <w:p w14:paraId="7881D120" w14:textId="77777777" w:rsidR="00307FE3" w:rsidRPr="0071048B" w:rsidRDefault="0071048B" w:rsidP="00764F72">
      <w:pPr>
        <w:numPr>
          <w:ilvl w:val="0"/>
          <w:numId w:val="1"/>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Remuneration/salary plan for the Board of Directors in 2024:</w:t>
      </w:r>
    </w:p>
    <w:p w14:paraId="2740AF9D" w14:textId="77777777" w:rsidR="00307FE3" w:rsidRPr="0071048B" w:rsidRDefault="0071048B" w:rsidP="00764F72">
      <w:pPr>
        <w:numPr>
          <w:ilvl w:val="0"/>
          <w:numId w:val="6"/>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Number of members of the Board of Directors: 05 members, in which: 01 Non-executive Chair of the Board of Directors, 01 Non-executive Vice Chair of the Board of Directors and 03 non-executive members of the Board of Directors,</w:t>
      </w:r>
    </w:p>
    <w:p w14:paraId="779DDE97" w14:textId="77777777" w:rsidR="00307FE3" w:rsidRPr="0071048B" w:rsidRDefault="0071048B" w:rsidP="00764F72">
      <w:pPr>
        <w:numPr>
          <w:ilvl w:val="0"/>
          <w:numId w:val="6"/>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Remuneration for non-executive members in 2024:</w:t>
      </w:r>
    </w:p>
    <w:p w14:paraId="7E714EC6" w14:textId="77777777" w:rsidR="00307FE3" w:rsidRPr="0071048B" w:rsidRDefault="0071048B" w:rsidP="00764F72">
      <w:pPr>
        <w:numPr>
          <w:ilvl w:val="0"/>
          <w:numId w:val="3"/>
        </w:numPr>
        <w:pBdr>
          <w:top w:val="nil"/>
          <w:left w:val="nil"/>
          <w:bottom w:val="nil"/>
          <w:right w:val="nil"/>
          <w:between w:val="nil"/>
        </w:pBdr>
        <w:tabs>
          <w:tab w:val="left" w:pos="432"/>
          <w:tab w:val="left" w:pos="5958"/>
          <w:tab w:val="left" w:pos="6150"/>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Non-executive Chair of the Board of Directors:</w:t>
      </w:r>
      <w:r w:rsidRPr="0071048B">
        <w:rPr>
          <w:rFonts w:ascii="Arial" w:hAnsi="Arial" w:cs="Arial"/>
          <w:color w:val="010000"/>
          <w:sz w:val="20"/>
        </w:rPr>
        <w:tab/>
        <w:t>VND 40,000,000/person/month</w:t>
      </w:r>
    </w:p>
    <w:p w14:paraId="5BE7EEF3" w14:textId="77777777" w:rsidR="00307FE3" w:rsidRPr="0071048B" w:rsidRDefault="0071048B" w:rsidP="00764F72">
      <w:pPr>
        <w:numPr>
          <w:ilvl w:val="0"/>
          <w:numId w:val="3"/>
        </w:numPr>
        <w:pBdr>
          <w:top w:val="nil"/>
          <w:left w:val="nil"/>
          <w:bottom w:val="nil"/>
          <w:right w:val="nil"/>
          <w:between w:val="nil"/>
        </w:pBdr>
        <w:tabs>
          <w:tab w:val="left" w:pos="432"/>
          <w:tab w:val="left" w:pos="5958"/>
          <w:tab w:val="left" w:pos="6150"/>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Non-executive Vice Chair of the Board of Directors:</w:t>
      </w:r>
      <w:r w:rsidRPr="0071048B">
        <w:rPr>
          <w:rFonts w:ascii="Arial" w:hAnsi="Arial" w:cs="Arial"/>
          <w:color w:val="010000"/>
          <w:sz w:val="20"/>
        </w:rPr>
        <w:tab/>
        <w:t>VND 20,000,000/person/month</w:t>
      </w:r>
    </w:p>
    <w:p w14:paraId="6BC6C534" w14:textId="77777777" w:rsidR="00307FE3" w:rsidRPr="0071048B" w:rsidRDefault="0071048B" w:rsidP="00764F72">
      <w:pPr>
        <w:numPr>
          <w:ilvl w:val="0"/>
          <w:numId w:val="3"/>
        </w:numPr>
        <w:pBdr>
          <w:top w:val="nil"/>
          <w:left w:val="nil"/>
          <w:bottom w:val="nil"/>
          <w:right w:val="nil"/>
          <w:between w:val="nil"/>
        </w:pBdr>
        <w:tabs>
          <w:tab w:val="left" w:pos="432"/>
          <w:tab w:val="left" w:pos="6204"/>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Non-executive members of the Board of Directors serving in committees:</w:t>
      </w:r>
      <w:r w:rsidRPr="0071048B">
        <w:rPr>
          <w:rFonts w:ascii="Arial" w:hAnsi="Arial" w:cs="Arial"/>
          <w:color w:val="010000"/>
          <w:sz w:val="20"/>
        </w:rPr>
        <w:tab/>
        <w:t>VND 20,000,000/person/month</w:t>
      </w:r>
    </w:p>
    <w:p w14:paraId="43884F6E" w14:textId="77777777" w:rsidR="00307FE3" w:rsidRPr="0071048B" w:rsidRDefault="0071048B" w:rsidP="00764F72">
      <w:pPr>
        <w:numPr>
          <w:ilvl w:val="0"/>
          <w:numId w:val="3"/>
        </w:numPr>
        <w:pBdr>
          <w:top w:val="nil"/>
          <w:left w:val="nil"/>
          <w:bottom w:val="nil"/>
          <w:right w:val="nil"/>
          <w:between w:val="nil"/>
        </w:pBdr>
        <w:tabs>
          <w:tab w:val="left" w:pos="432"/>
          <w:tab w:val="left" w:pos="5958"/>
          <w:tab w:val="left" w:pos="6150"/>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Non-executive independent member of the Board of Directors:</w:t>
      </w:r>
      <w:r w:rsidRPr="0071048B">
        <w:rPr>
          <w:rFonts w:ascii="Arial" w:hAnsi="Arial" w:cs="Arial"/>
          <w:color w:val="010000"/>
          <w:sz w:val="20"/>
        </w:rPr>
        <w:tab/>
        <w:t>VND 20,000,000/person/month</w:t>
      </w:r>
    </w:p>
    <w:p w14:paraId="5F5C0C65" w14:textId="77777777" w:rsidR="00307FE3" w:rsidRPr="0071048B" w:rsidRDefault="0071048B" w:rsidP="00764F72">
      <w:pPr>
        <w:numPr>
          <w:ilvl w:val="0"/>
          <w:numId w:val="3"/>
        </w:numPr>
        <w:pBdr>
          <w:top w:val="nil"/>
          <w:left w:val="nil"/>
          <w:bottom w:val="nil"/>
          <w:right w:val="nil"/>
          <w:between w:val="nil"/>
        </w:pBdr>
        <w:tabs>
          <w:tab w:val="left" w:pos="432"/>
          <w:tab w:val="left" w:pos="5958"/>
          <w:tab w:val="left" w:pos="6150"/>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Non-executive member of the Board of Directors:</w:t>
      </w:r>
      <w:r w:rsidRPr="0071048B">
        <w:rPr>
          <w:rFonts w:ascii="Arial" w:hAnsi="Arial" w:cs="Arial"/>
          <w:color w:val="010000"/>
          <w:sz w:val="20"/>
        </w:rPr>
        <w:tab/>
        <w:t>VND 15,000,000/person/month</w:t>
      </w:r>
    </w:p>
    <w:p w14:paraId="69546BEF" w14:textId="77777777" w:rsidR="00307FE3" w:rsidRPr="0071048B" w:rsidRDefault="0071048B" w:rsidP="00764F72">
      <w:pPr>
        <w:numPr>
          <w:ilvl w:val="0"/>
          <w:numId w:val="6"/>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Remuneration/salary plan for the Supervisory Board in 2024: VND 1,320,000,000</w:t>
      </w:r>
    </w:p>
    <w:p w14:paraId="66BDA995" w14:textId="77777777" w:rsidR="00307FE3" w:rsidRPr="0071048B" w:rsidRDefault="0071048B" w:rsidP="00764F72">
      <w:pPr>
        <w:numPr>
          <w:ilvl w:val="0"/>
          <w:numId w:val="6"/>
        </w:numPr>
        <w:pBdr>
          <w:top w:val="nil"/>
          <w:left w:val="nil"/>
          <w:bottom w:val="nil"/>
          <w:right w:val="nil"/>
          <w:between w:val="nil"/>
        </w:pBdr>
        <w:tabs>
          <w:tab w:val="left" w:pos="432"/>
          <w:tab w:val="left" w:pos="1046"/>
        </w:tabs>
        <w:spacing w:after="120" w:line="360" w:lineRule="auto"/>
        <w:jc w:val="both"/>
        <w:rPr>
          <w:rFonts w:ascii="Arial" w:eastAsia="Arial" w:hAnsi="Arial" w:cs="Arial"/>
          <w:color w:val="010000"/>
          <w:sz w:val="20"/>
          <w:szCs w:val="20"/>
        </w:rPr>
      </w:pPr>
      <w:r w:rsidRPr="0071048B">
        <w:rPr>
          <w:rFonts w:ascii="Arial" w:hAnsi="Arial" w:cs="Arial"/>
          <w:color w:val="010000"/>
          <w:sz w:val="20"/>
        </w:rPr>
        <w:t>Salary plan and other benefits of the Board of Directors in 2024:</w:t>
      </w:r>
    </w:p>
    <w:p w14:paraId="151F9957" w14:textId="77777777" w:rsidR="00307FE3" w:rsidRPr="0071048B" w:rsidRDefault="0071048B" w:rsidP="00764F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Salary for exceeding the business plan is based on business results and according to Company regulations.</w:t>
      </w:r>
    </w:p>
    <w:p w14:paraId="784A5AC5" w14:textId="77777777" w:rsidR="00307FE3" w:rsidRPr="0071048B" w:rsidRDefault="0071048B" w:rsidP="00764F72">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71048B">
        <w:rPr>
          <w:rFonts w:ascii="Arial" w:hAnsi="Arial" w:cs="Arial"/>
          <w:color w:val="010000"/>
          <w:sz w:val="20"/>
        </w:rPr>
        <w:t>Operating expense of the Board of Directors to carry out assigned tasks is carried out in accordance with current regulations of Hanoi Re.</w:t>
      </w:r>
    </w:p>
    <w:p w14:paraId="5789324C" w14:textId="77777777" w:rsidR="00307FE3" w:rsidRPr="0071048B" w:rsidRDefault="0071048B" w:rsidP="00764F72">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In case there is a change in the number of executive/non-executive members, remuneration/salary and other benefits will be adjusted accordingly.</w:t>
      </w:r>
    </w:p>
    <w:p w14:paraId="455B7BD4"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7: Approve the Report on capital use after increasing charter capital to VND 1,044 billion.</w:t>
      </w:r>
    </w:p>
    <w:p w14:paraId="61AA5545"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8: Approve the amendment and supplement to the Internal Regulations on Corporate Governance and the Operating Regulations of the Board of Directors.</w:t>
      </w:r>
    </w:p>
    <w:p w14:paraId="5E962F6D"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Article 9. Approve the Report of independent members of the Board of Directors.</w:t>
      </w:r>
    </w:p>
    <w:p w14:paraId="42A65000" w14:textId="77777777" w:rsidR="00307FE3" w:rsidRPr="0071048B" w:rsidRDefault="0071048B" w:rsidP="00764F7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1048B">
        <w:rPr>
          <w:rFonts w:ascii="Arial" w:hAnsi="Arial" w:cs="Arial"/>
          <w:color w:val="010000"/>
          <w:sz w:val="20"/>
        </w:rPr>
        <w:t xml:space="preserve">Article 10: This General Mandate is approved by Hanoi Re's Annual General Meeting of Shareholders 2024 with a rate of 100% of the total voting shares at the Meeting and takes effect from April 23, 2024. The Board of Directors, the General Manager, Deputy General Managers and the Chief Accountant are </w:t>
      </w:r>
      <w:r w:rsidRPr="0071048B">
        <w:rPr>
          <w:rFonts w:ascii="Arial" w:hAnsi="Arial" w:cs="Arial"/>
          <w:color w:val="010000"/>
          <w:sz w:val="20"/>
        </w:rPr>
        <w:lastRenderedPageBreak/>
        <w:t>responsible for implementing this General Mandate./.</w:t>
      </w:r>
    </w:p>
    <w:sectPr w:rsidR="00307FE3" w:rsidRPr="0071048B" w:rsidSect="007565E6">
      <w:pgSz w:w="11900" w:h="16840"/>
      <w:pgMar w:top="1440" w:right="1440" w:bottom="1440" w:left="144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5A8"/>
    <w:multiLevelType w:val="multilevel"/>
    <w:tmpl w:val="FC66752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
      <w:lvlJc w:val="left"/>
      <w:pPr>
        <w:ind w:left="1440" w:hanging="360"/>
      </w:pPr>
      <w:rPr>
        <w:rFonts w:ascii="Noto Sans Symbols" w:eastAsia="Noto Sans Symbols" w:hAnsi="Noto Sans Symbols" w:cs="Noto Sans Symbols"/>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96B42"/>
    <w:multiLevelType w:val="multilevel"/>
    <w:tmpl w:val="5882E768"/>
    <w:lvl w:ilvl="0">
      <w:start w:val="1"/>
      <w:numFmt w:val="bullet"/>
      <w:lvlText w:val="-"/>
      <w:lvlJc w:val="left"/>
      <w:pPr>
        <w:ind w:left="0" w:firstLine="0"/>
      </w:pPr>
      <w:rPr>
        <w:rFonts w:ascii="Arial" w:eastAsia="Arial" w:hAnsi="Arial" w:cs="Arial"/>
        <w:b w:val="0"/>
        <w:i w:val="0"/>
        <w:smallCaps w:val="0"/>
        <w:strike w:val="0"/>
        <w:color w:val="000000"/>
        <w:sz w:val="20"/>
        <w:szCs w:val="19"/>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1768F6"/>
    <w:multiLevelType w:val="multilevel"/>
    <w:tmpl w:val="9F284558"/>
    <w:lvl w:ilvl="0">
      <w:start w:val="1"/>
      <w:numFmt w:val="bullet"/>
      <w:lvlText w:val="+"/>
      <w:lvlJc w:val="left"/>
      <w:pPr>
        <w:ind w:left="1820" w:hanging="360"/>
      </w:pPr>
      <w:rPr>
        <w:rFonts w:ascii="Noto Sans Symbols" w:eastAsia="Noto Sans Symbols" w:hAnsi="Noto Sans Symbols" w:cs="Noto Sans Symbols"/>
        <w:b w:val="0"/>
        <w:i w:val="0"/>
        <w:sz w:val="20"/>
      </w:rPr>
    </w:lvl>
    <w:lvl w:ilvl="1">
      <w:start w:val="1"/>
      <w:numFmt w:val="bullet"/>
      <w:lvlText w:val="o"/>
      <w:lvlJc w:val="left"/>
      <w:pPr>
        <w:ind w:left="2540" w:hanging="360"/>
      </w:pPr>
      <w:rPr>
        <w:rFonts w:ascii="Courier New" w:eastAsia="Courier New" w:hAnsi="Courier New" w:cs="Courier New"/>
        <w:b w:val="0"/>
        <w:i w:val="0"/>
        <w:sz w:val="20"/>
      </w:rPr>
    </w:lvl>
    <w:lvl w:ilvl="2">
      <w:start w:val="1"/>
      <w:numFmt w:val="bullet"/>
      <w:lvlText w:val="▪"/>
      <w:lvlJc w:val="left"/>
      <w:pPr>
        <w:ind w:left="3260" w:hanging="360"/>
      </w:pPr>
      <w:rPr>
        <w:rFonts w:ascii="Noto Sans Symbols" w:eastAsia="Noto Sans Symbols" w:hAnsi="Noto Sans Symbols" w:cs="Noto Sans Symbols"/>
        <w:b w:val="0"/>
        <w:i w:val="0"/>
        <w:sz w:val="20"/>
      </w:rPr>
    </w:lvl>
    <w:lvl w:ilvl="3">
      <w:start w:val="1"/>
      <w:numFmt w:val="bullet"/>
      <w:lvlText w:val="●"/>
      <w:lvlJc w:val="left"/>
      <w:pPr>
        <w:ind w:left="3980" w:hanging="360"/>
      </w:pPr>
      <w:rPr>
        <w:rFonts w:ascii="Noto Sans Symbols" w:eastAsia="Noto Sans Symbols" w:hAnsi="Noto Sans Symbols" w:cs="Noto Sans Symbols"/>
      </w:rPr>
    </w:lvl>
    <w:lvl w:ilvl="4">
      <w:start w:val="1"/>
      <w:numFmt w:val="bullet"/>
      <w:lvlText w:val="o"/>
      <w:lvlJc w:val="left"/>
      <w:pPr>
        <w:ind w:left="4700" w:hanging="360"/>
      </w:pPr>
      <w:rPr>
        <w:rFonts w:ascii="Courier New" w:eastAsia="Courier New" w:hAnsi="Courier New" w:cs="Courier New"/>
      </w:rPr>
    </w:lvl>
    <w:lvl w:ilvl="5">
      <w:start w:val="1"/>
      <w:numFmt w:val="bullet"/>
      <w:lvlText w:val="▪"/>
      <w:lvlJc w:val="left"/>
      <w:pPr>
        <w:ind w:left="5420" w:hanging="360"/>
      </w:pPr>
      <w:rPr>
        <w:rFonts w:ascii="Noto Sans Symbols" w:eastAsia="Noto Sans Symbols" w:hAnsi="Noto Sans Symbols" w:cs="Noto Sans Symbols"/>
      </w:rPr>
    </w:lvl>
    <w:lvl w:ilvl="6">
      <w:start w:val="1"/>
      <w:numFmt w:val="bullet"/>
      <w:lvlText w:val="●"/>
      <w:lvlJc w:val="left"/>
      <w:pPr>
        <w:ind w:left="6140" w:hanging="360"/>
      </w:pPr>
      <w:rPr>
        <w:rFonts w:ascii="Noto Sans Symbols" w:eastAsia="Noto Sans Symbols" w:hAnsi="Noto Sans Symbols" w:cs="Noto Sans Symbols"/>
      </w:rPr>
    </w:lvl>
    <w:lvl w:ilvl="7">
      <w:start w:val="1"/>
      <w:numFmt w:val="bullet"/>
      <w:lvlText w:val="o"/>
      <w:lvlJc w:val="left"/>
      <w:pPr>
        <w:ind w:left="6860" w:hanging="360"/>
      </w:pPr>
      <w:rPr>
        <w:rFonts w:ascii="Courier New" w:eastAsia="Courier New" w:hAnsi="Courier New" w:cs="Courier New"/>
      </w:rPr>
    </w:lvl>
    <w:lvl w:ilvl="8">
      <w:start w:val="1"/>
      <w:numFmt w:val="bullet"/>
      <w:lvlText w:val="▪"/>
      <w:lvlJc w:val="left"/>
      <w:pPr>
        <w:ind w:left="7580" w:hanging="360"/>
      </w:pPr>
      <w:rPr>
        <w:rFonts w:ascii="Noto Sans Symbols" w:eastAsia="Noto Sans Symbols" w:hAnsi="Noto Sans Symbols" w:cs="Noto Sans Symbols"/>
      </w:rPr>
    </w:lvl>
  </w:abstractNum>
  <w:abstractNum w:abstractNumId="3" w15:restartNumberingAfterBreak="0">
    <w:nsid w:val="31C33E5A"/>
    <w:multiLevelType w:val="multilevel"/>
    <w:tmpl w:val="CD6A13DC"/>
    <w:lvl w:ilvl="0">
      <w:start w:val="1"/>
      <w:numFmt w:val="bullet"/>
      <w:lvlText w:val="+"/>
      <w:lvlJc w:val="left"/>
      <w:pPr>
        <w:ind w:left="1580" w:hanging="360"/>
      </w:pPr>
      <w:rPr>
        <w:rFonts w:ascii="Noto Sans Symbols" w:eastAsia="Noto Sans Symbols" w:hAnsi="Noto Sans Symbols" w:cs="Noto Sans Symbols"/>
        <w:b w:val="0"/>
        <w:i w:val="0"/>
        <w:sz w:val="20"/>
      </w:rPr>
    </w:lvl>
    <w:lvl w:ilvl="1">
      <w:start w:val="1"/>
      <w:numFmt w:val="bullet"/>
      <w:lvlText w:val="o"/>
      <w:lvlJc w:val="left"/>
      <w:pPr>
        <w:ind w:left="2300" w:hanging="360"/>
      </w:pPr>
      <w:rPr>
        <w:rFonts w:ascii="Courier New" w:eastAsia="Courier New" w:hAnsi="Courier New" w:cs="Courier New"/>
        <w:b w:val="0"/>
        <w:i w:val="0"/>
        <w:sz w:val="20"/>
      </w:rPr>
    </w:lvl>
    <w:lvl w:ilvl="2">
      <w:start w:val="1"/>
      <w:numFmt w:val="bullet"/>
      <w:lvlText w:val="▪"/>
      <w:lvlJc w:val="left"/>
      <w:pPr>
        <w:ind w:left="3020" w:hanging="360"/>
      </w:pPr>
      <w:rPr>
        <w:rFonts w:ascii="Noto Sans Symbols" w:eastAsia="Noto Sans Symbols" w:hAnsi="Noto Sans Symbols" w:cs="Noto Sans Symbols"/>
        <w:b w:val="0"/>
        <w:i w:val="0"/>
        <w:sz w:val="20"/>
      </w:rPr>
    </w:lvl>
    <w:lvl w:ilvl="3">
      <w:start w:val="1"/>
      <w:numFmt w:val="bullet"/>
      <w:lvlText w:val="●"/>
      <w:lvlJc w:val="left"/>
      <w:pPr>
        <w:ind w:left="3740" w:hanging="360"/>
      </w:pPr>
      <w:rPr>
        <w:rFonts w:ascii="Noto Sans Symbols" w:eastAsia="Noto Sans Symbols" w:hAnsi="Noto Sans Symbols" w:cs="Noto Sans Symbols"/>
      </w:rPr>
    </w:lvl>
    <w:lvl w:ilvl="4">
      <w:start w:val="1"/>
      <w:numFmt w:val="bullet"/>
      <w:lvlText w:val="o"/>
      <w:lvlJc w:val="left"/>
      <w:pPr>
        <w:ind w:left="4460" w:hanging="360"/>
      </w:pPr>
      <w:rPr>
        <w:rFonts w:ascii="Courier New" w:eastAsia="Courier New" w:hAnsi="Courier New" w:cs="Courier New"/>
      </w:rPr>
    </w:lvl>
    <w:lvl w:ilvl="5">
      <w:start w:val="1"/>
      <w:numFmt w:val="bullet"/>
      <w:lvlText w:val="▪"/>
      <w:lvlJc w:val="left"/>
      <w:pPr>
        <w:ind w:left="5180" w:hanging="360"/>
      </w:pPr>
      <w:rPr>
        <w:rFonts w:ascii="Noto Sans Symbols" w:eastAsia="Noto Sans Symbols" w:hAnsi="Noto Sans Symbols" w:cs="Noto Sans Symbols"/>
      </w:rPr>
    </w:lvl>
    <w:lvl w:ilvl="6">
      <w:start w:val="1"/>
      <w:numFmt w:val="bullet"/>
      <w:lvlText w:val="●"/>
      <w:lvlJc w:val="left"/>
      <w:pPr>
        <w:ind w:left="5900" w:hanging="360"/>
      </w:pPr>
      <w:rPr>
        <w:rFonts w:ascii="Noto Sans Symbols" w:eastAsia="Noto Sans Symbols" w:hAnsi="Noto Sans Symbols" w:cs="Noto Sans Symbols"/>
      </w:rPr>
    </w:lvl>
    <w:lvl w:ilvl="7">
      <w:start w:val="1"/>
      <w:numFmt w:val="bullet"/>
      <w:lvlText w:val="o"/>
      <w:lvlJc w:val="left"/>
      <w:pPr>
        <w:ind w:left="6620" w:hanging="360"/>
      </w:pPr>
      <w:rPr>
        <w:rFonts w:ascii="Courier New" w:eastAsia="Courier New" w:hAnsi="Courier New" w:cs="Courier New"/>
      </w:rPr>
    </w:lvl>
    <w:lvl w:ilvl="8">
      <w:start w:val="1"/>
      <w:numFmt w:val="bullet"/>
      <w:lvlText w:val="▪"/>
      <w:lvlJc w:val="left"/>
      <w:pPr>
        <w:ind w:left="7340" w:hanging="360"/>
      </w:pPr>
      <w:rPr>
        <w:rFonts w:ascii="Noto Sans Symbols" w:eastAsia="Noto Sans Symbols" w:hAnsi="Noto Sans Symbols" w:cs="Noto Sans Symbols"/>
      </w:rPr>
    </w:lvl>
  </w:abstractNum>
  <w:abstractNum w:abstractNumId="4" w15:restartNumberingAfterBreak="0">
    <w:nsid w:val="36DC50D7"/>
    <w:multiLevelType w:val="multilevel"/>
    <w:tmpl w:val="7DD85EC6"/>
    <w:lvl w:ilvl="0">
      <w:start w:val="1"/>
      <w:numFmt w:val="decimal"/>
      <w:lvlText w:val="6.%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43A5E47"/>
    <w:multiLevelType w:val="multilevel"/>
    <w:tmpl w:val="93CC7550"/>
    <w:lvl w:ilvl="0">
      <w:start w:val="1"/>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DAF156C"/>
    <w:multiLevelType w:val="multilevel"/>
    <w:tmpl w:val="93B4D8D4"/>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3"/>
    <w:rsid w:val="00307FE3"/>
    <w:rsid w:val="00360511"/>
    <w:rsid w:val="0071048B"/>
    <w:rsid w:val="007565E6"/>
    <w:rsid w:val="00764F72"/>
    <w:rsid w:val="00DD733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BC7D"/>
  <w15:docId w15:val="{47101780-4C0E-42A9-837B-32493E5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Verdana" w:eastAsia="Verdana" w:hAnsi="Verdana" w:cs="Verdana"/>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bCs/>
      <w:i/>
      <w:iCs/>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58286"/>
      <w:sz w:val="22"/>
      <w:szCs w:val="22"/>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58286"/>
      <w:sz w:val="17"/>
      <w:szCs w:val="17"/>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60" w:line="360" w:lineRule="auto"/>
    </w:pPr>
    <w:rPr>
      <w:rFonts w:ascii="Arial" w:eastAsia="Arial" w:hAnsi="Arial" w:cs="Arial"/>
      <w:sz w:val="22"/>
      <w:szCs w:val="22"/>
    </w:rPr>
  </w:style>
  <w:style w:type="paragraph" w:customStyle="1" w:styleId="Bodytext20">
    <w:name w:val="Body text (2)"/>
    <w:basedOn w:val="Normal"/>
    <w:link w:val="Bodytext2"/>
    <w:pPr>
      <w:spacing w:after="260"/>
      <w:ind w:left="1530"/>
    </w:pPr>
    <w:rPr>
      <w:rFonts w:ascii="Verdana" w:eastAsia="Verdana" w:hAnsi="Verdana" w:cs="Verdana"/>
      <w:sz w:val="20"/>
      <w:szCs w:val="20"/>
    </w:rPr>
  </w:style>
  <w:style w:type="paragraph" w:customStyle="1" w:styleId="Other0">
    <w:name w:val="Other"/>
    <w:basedOn w:val="Normal"/>
    <w:link w:val="Other"/>
    <w:pPr>
      <w:spacing w:after="60" w:line="360" w:lineRule="auto"/>
    </w:pPr>
    <w:rPr>
      <w:rFonts w:ascii="Arial" w:eastAsia="Arial" w:hAnsi="Arial" w:cs="Arial"/>
      <w:sz w:val="22"/>
      <w:szCs w:val="22"/>
    </w:rPr>
  </w:style>
  <w:style w:type="paragraph" w:customStyle="1" w:styleId="Tablecaption0">
    <w:name w:val="Table caption"/>
    <w:basedOn w:val="Normal"/>
    <w:link w:val="Tablecaption"/>
    <w:pPr>
      <w:jc w:val="right"/>
    </w:pPr>
    <w:rPr>
      <w:rFonts w:ascii="Arial" w:eastAsia="Arial" w:hAnsi="Arial" w:cs="Arial"/>
      <w:b/>
      <w:bCs/>
      <w:i/>
      <w:iCs/>
      <w:sz w:val="22"/>
      <w:szCs w:val="22"/>
    </w:rPr>
  </w:style>
  <w:style w:type="paragraph" w:customStyle="1" w:styleId="Bodytext50">
    <w:name w:val="Body text (5)"/>
    <w:basedOn w:val="Normal"/>
    <w:link w:val="Bodytext5"/>
    <w:pPr>
      <w:jc w:val="right"/>
    </w:pPr>
    <w:rPr>
      <w:rFonts w:ascii="Times New Roman" w:eastAsia="Times New Roman" w:hAnsi="Times New Roman" w:cs="Times New Roman"/>
      <w:color w:val="C58286"/>
      <w:sz w:val="22"/>
      <w:szCs w:val="22"/>
      <w:u w:val="single"/>
    </w:rPr>
  </w:style>
  <w:style w:type="paragraph" w:customStyle="1" w:styleId="Bodytext40">
    <w:name w:val="Body text (4)"/>
    <w:basedOn w:val="Normal"/>
    <w:link w:val="Bodytext4"/>
    <w:pPr>
      <w:spacing w:line="259" w:lineRule="auto"/>
      <w:ind w:firstLine="180"/>
    </w:pPr>
    <w:rPr>
      <w:rFonts w:ascii="Arial" w:eastAsia="Arial" w:hAnsi="Arial" w:cs="Arial"/>
      <w:b/>
      <w:bCs/>
      <w:color w:val="C58286"/>
      <w:sz w:val="17"/>
      <w:szCs w:val="17"/>
    </w:rPr>
  </w:style>
  <w:style w:type="paragraph" w:customStyle="1" w:styleId="Heading11">
    <w:name w:val="Heading #1"/>
    <w:basedOn w:val="Normal"/>
    <w:link w:val="Heading10"/>
    <w:pPr>
      <w:spacing w:after="140" w:line="336" w:lineRule="auto"/>
      <w:outlineLvl w:val="0"/>
    </w:pPr>
    <w:rPr>
      <w:rFonts w:ascii="Arial" w:eastAsia="Arial" w:hAnsi="Arial" w:cs="Arial"/>
      <w:b/>
      <w:bCs/>
      <w:sz w:val="22"/>
      <w:szCs w:val="22"/>
    </w:rPr>
  </w:style>
  <w:style w:type="paragraph" w:customStyle="1" w:styleId="Bodytext30">
    <w:name w:val="Body text (3)"/>
    <w:basedOn w:val="Normal"/>
    <w:link w:val="Bodytext3"/>
    <w:pPr>
      <w:spacing w:after="260"/>
      <w:ind w:firstLine="980"/>
    </w:pPr>
    <w:rPr>
      <w:rFonts w:ascii="Arial" w:eastAsia="Arial" w:hAnsi="Arial" w:cs="Arial"/>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Jh7d+hmreRHP+/SfovfXsktHA==">CgMxLjAyCGguZ2pkZ3hzOAByITFqbGdENkJpMTlhZWpMamJXUzJQbUM0MExhWlIxVFZwcw==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2024-04-25T03:51:00Z</dcterms:created>
  <dcterms:modified xsi:type="dcterms:W3CDTF">2024-05-02T03:32:00Z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eada21aa3226d696ccc9eae76efe8073408d06309eb88723902f5a56239ccd5b</vt:lpwstr>
  </property>
</Properties>
</file>