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7CB0"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EF3F0D">
        <w:rPr>
          <w:rFonts w:ascii="Arial" w:hAnsi="Arial" w:cs="Arial"/>
          <w:b/>
          <w:color w:val="010000"/>
          <w:sz w:val="20"/>
        </w:rPr>
        <w:t>QNS: Board Resolution</w:t>
      </w:r>
    </w:p>
    <w:p w14:paraId="5D1131D8"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On April 24, 2024, Quang Ngai Sugar Joint Stock Company announced Resolution No. 20/NQ/QNS-HDQT as follows:</w:t>
      </w:r>
    </w:p>
    <w:p w14:paraId="77B2175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‎‎Article 1. Implement the share issuance plan according to the Company's Employee Stock Ownership Plan based on production and business results in 2023 approved by the Annual General Meeting of Shareholders 2024 on March 30, 2024.</w:t>
      </w:r>
    </w:p>
    <w:p w14:paraId="06373A35" w14:textId="77777777" w:rsidR="00B3790A" w:rsidRPr="00EF3F0D" w:rsidRDefault="00EF3F0D" w:rsidP="00EF3F0D">
      <w:pPr>
        <w:numPr>
          <w:ilvl w:val="0"/>
          <w:numId w:val="3"/>
        </w:numPr>
        <w:pBdr>
          <w:top w:val="nil"/>
          <w:left w:val="nil"/>
          <w:bottom w:val="nil"/>
          <w:right w:val="nil"/>
          <w:between w:val="nil"/>
        </w:pBdr>
        <w:tabs>
          <w:tab w:val="left" w:pos="432"/>
          <w:tab w:val="left" w:pos="2134"/>
        </w:tabs>
        <w:spacing w:after="120" w:line="360" w:lineRule="auto"/>
        <w:rPr>
          <w:rFonts w:ascii="Arial" w:eastAsia="Arial" w:hAnsi="Arial" w:cs="Arial"/>
          <w:color w:val="010000"/>
          <w:sz w:val="20"/>
          <w:szCs w:val="20"/>
        </w:rPr>
      </w:pPr>
      <w:r w:rsidRPr="00EF3F0D">
        <w:rPr>
          <w:rFonts w:ascii="Arial" w:hAnsi="Arial" w:cs="Arial"/>
          <w:color w:val="010000"/>
          <w:sz w:val="20"/>
        </w:rPr>
        <w:t>Number of issued shares: 10,708,198 shares, equivalent to 3% of outstanding shares (356,939,955 shares)</w:t>
      </w:r>
    </w:p>
    <w:p w14:paraId="0FC0BAA1" w14:textId="77777777" w:rsidR="00B3790A" w:rsidRPr="00EF3F0D" w:rsidRDefault="00EF3F0D" w:rsidP="00EF3F0D">
      <w:pPr>
        <w:numPr>
          <w:ilvl w:val="0"/>
          <w:numId w:val="3"/>
        </w:numPr>
        <w:pBdr>
          <w:top w:val="nil"/>
          <w:left w:val="nil"/>
          <w:bottom w:val="nil"/>
          <w:right w:val="nil"/>
          <w:between w:val="nil"/>
        </w:pBdr>
        <w:tabs>
          <w:tab w:val="left" w:pos="432"/>
          <w:tab w:val="left" w:pos="2102"/>
        </w:tabs>
        <w:spacing w:after="120" w:line="360" w:lineRule="auto"/>
        <w:rPr>
          <w:rFonts w:ascii="Arial" w:eastAsia="Arial" w:hAnsi="Arial" w:cs="Arial"/>
          <w:color w:val="010000"/>
          <w:sz w:val="20"/>
          <w:szCs w:val="20"/>
        </w:rPr>
      </w:pPr>
      <w:r w:rsidRPr="00EF3F0D">
        <w:rPr>
          <w:rFonts w:ascii="Arial" w:hAnsi="Arial" w:cs="Arial"/>
          <w:color w:val="010000"/>
          <w:sz w:val="20"/>
        </w:rPr>
        <w:t>Type of shares: Common share.</w:t>
      </w:r>
    </w:p>
    <w:p w14:paraId="6FC46EE1" w14:textId="77777777" w:rsidR="00B3790A" w:rsidRPr="00EF3F0D" w:rsidRDefault="00EF3F0D" w:rsidP="00EF3F0D">
      <w:pPr>
        <w:numPr>
          <w:ilvl w:val="0"/>
          <w:numId w:val="3"/>
        </w:numPr>
        <w:pBdr>
          <w:top w:val="nil"/>
          <w:left w:val="nil"/>
          <w:bottom w:val="nil"/>
          <w:right w:val="nil"/>
          <w:between w:val="nil"/>
        </w:pBdr>
        <w:tabs>
          <w:tab w:val="left" w:pos="432"/>
          <w:tab w:val="left" w:pos="2102"/>
        </w:tabs>
        <w:spacing w:after="120" w:line="360" w:lineRule="auto"/>
        <w:rPr>
          <w:rFonts w:ascii="Arial" w:eastAsia="Arial" w:hAnsi="Arial" w:cs="Arial"/>
          <w:color w:val="010000"/>
          <w:sz w:val="20"/>
          <w:szCs w:val="20"/>
        </w:rPr>
      </w:pPr>
      <w:r w:rsidRPr="00EF3F0D">
        <w:rPr>
          <w:rFonts w:ascii="Arial" w:hAnsi="Arial" w:cs="Arial"/>
          <w:color w:val="010000"/>
          <w:sz w:val="20"/>
        </w:rPr>
        <w:t>Principles for determining selling price:</w:t>
      </w:r>
    </w:p>
    <w:p w14:paraId="5DDE9703"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The issuance price is the accounting book price as of December 31, 2023: VND 26,377/share</w:t>
      </w:r>
    </w:p>
    <w:p w14:paraId="3F542FDF" w14:textId="77777777" w:rsidR="00B3790A" w:rsidRPr="00EF3F0D" w:rsidRDefault="00EF3F0D" w:rsidP="00EF3F0D">
      <w:pPr>
        <w:numPr>
          <w:ilvl w:val="0"/>
          <w:numId w:val="3"/>
        </w:numPr>
        <w:pBdr>
          <w:top w:val="nil"/>
          <w:left w:val="nil"/>
          <w:bottom w:val="nil"/>
          <w:right w:val="nil"/>
          <w:between w:val="nil"/>
        </w:pBdr>
        <w:tabs>
          <w:tab w:val="left" w:pos="432"/>
          <w:tab w:val="left" w:pos="2106"/>
        </w:tabs>
        <w:spacing w:after="120" w:line="360" w:lineRule="auto"/>
        <w:rPr>
          <w:rFonts w:ascii="Arial" w:eastAsia="Arial" w:hAnsi="Arial" w:cs="Arial"/>
          <w:color w:val="010000"/>
          <w:sz w:val="20"/>
          <w:szCs w:val="20"/>
        </w:rPr>
      </w:pPr>
      <w:r w:rsidRPr="00EF3F0D">
        <w:rPr>
          <w:rFonts w:ascii="Arial" w:hAnsi="Arial" w:cs="Arial"/>
          <w:color w:val="010000"/>
          <w:sz w:val="20"/>
        </w:rPr>
        <w:t>Number of employees selected to participate in the ESOP: 50 employees.</w:t>
      </w:r>
    </w:p>
    <w:p w14:paraId="1BBD596D" w14:textId="77777777" w:rsidR="00B3790A" w:rsidRPr="00EF3F0D" w:rsidRDefault="00EF3F0D" w:rsidP="00EF3F0D">
      <w:pPr>
        <w:numPr>
          <w:ilvl w:val="0"/>
          <w:numId w:val="3"/>
        </w:numPr>
        <w:pBdr>
          <w:top w:val="nil"/>
          <w:left w:val="nil"/>
          <w:bottom w:val="nil"/>
          <w:right w:val="nil"/>
          <w:between w:val="nil"/>
        </w:pBdr>
        <w:tabs>
          <w:tab w:val="left" w:pos="432"/>
          <w:tab w:val="left" w:pos="2149"/>
        </w:tabs>
        <w:spacing w:after="120" w:line="360" w:lineRule="auto"/>
        <w:rPr>
          <w:rFonts w:ascii="Arial" w:eastAsia="Arial" w:hAnsi="Arial" w:cs="Arial"/>
          <w:color w:val="010000"/>
          <w:sz w:val="20"/>
          <w:szCs w:val="20"/>
        </w:rPr>
      </w:pPr>
      <w:r w:rsidRPr="00EF3F0D">
        <w:rPr>
          <w:rFonts w:ascii="Arial" w:hAnsi="Arial" w:cs="Arial"/>
          <w:color w:val="010000"/>
          <w:sz w:val="20"/>
        </w:rPr>
        <w:t>Criteria for grouping, number of shares distributed and handling shares in case employees do not buy all:</w:t>
      </w:r>
    </w:p>
    <w:p w14:paraId="4A1C7527" w14:textId="562EF210" w:rsidR="00B3790A" w:rsidRPr="00EF3F0D" w:rsidRDefault="00EF3F0D" w:rsidP="00EF3F0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F3F0D">
        <w:rPr>
          <w:rFonts w:ascii="Arial" w:hAnsi="Arial" w:cs="Arial"/>
          <w:color w:val="010000"/>
          <w:sz w:val="20"/>
        </w:rPr>
        <w:t>Criteria for share distribution to employees is based on determined standards. Based on position, position in the Company, unit and level of contribution to the overall efficiency of the Company, allocate the number of shares to each target group.</w:t>
      </w:r>
    </w:p>
    <w:p w14:paraId="17E29710" w14:textId="77777777" w:rsidR="00B3790A" w:rsidRPr="00EF3F0D" w:rsidRDefault="00EF3F0D" w:rsidP="00EF3F0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F3F0D">
        <w:rPr>
          <w:rFonts w:ascii="Arial" w:hAnsi="Arial" w:cs="Arial"/>
          <w:color w:val="010000"/>
          <w:sz w:val="20"/>
        </w:rPr>
        <w:t>The amount of shares issued is divided into 07 levels corresponding to the following 07 groups: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9"/>
        <w:gridCol w:w="1910"/>
        <w:gridCol w:w="1210"/>
        <w:gridCol w:w="1216"/>
        <w:gridCol w:w="1623"/>
        <w:gridCol w:w="2071"/>
      </w:tblGrid>
      <w:tr w:rsidR="00EF3F0D" w:rsidRPr="00EF3F0D" w14:paraId="2E568E62" w14:textId="77777777" w:rsidTr="00EF3F0D">
        <w:tc>
          <w:tcPr>
            <w:tcW w:w="548" w:type="pct"/>
            <w:shd w:val="clear" w:color="auto" w:fill="auto"/>
            <w:tcMar>
              <w:top w:w="0" w:type="dxa"/>
              <w:bottom w:w="0" w:type="dxa"/>
            </w:tcMar>
            <w:vAlign w:val="center"/>
          </w:tcPr>
          <w:p w14:paraId="57B3686C"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No.</w:t>
            </w:r>
          </w:p>
        </w:tc>
        <w:tc>
          <w:tcPr>
            <w:tcW w:w="1059" w:type="pct"/>
            <w:shd w:val="clear" w:color="auto" w:fill="auto"/>
            <w:tcMar>
              <w:top w:w="0" w:type="dxa"/>
              <w:bottom w:w="0" w:type="dxa"/>
            </w:tcMar>
            <w:vAlign w:val="center"/>
          </w:tcPr>
          <w:p w14:paraId="18B9DED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w:t>
            </w:r>
          </w:p>
        </w:tc>
        <w:tc>
          <w:tcPr>
            <w:tcW w:w="671" w:type="pct"/>
            <w:shd w:val="clear" w:color="auto" w:fill="auto"/>
            <w:tcMar>
              <w:top w:w="0" w:type="dxa"/>
              <w:bottom w:w="0" w:type="dxa"/>
            </w:tcMar>
            <w:vAlign w:val="center"/>
          </w:tcPr>
          <w:p w14:paraId="2DA77FC8"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Number of employees</w:t>
            </w:r>
          </w:p>
        </w:tc>
        <w:tc>
          <w:tcPr>
            <w:tcW w:w="674" w:type="pct"/>
            <w:shd w:val="clear" w:color="auto" w:fill="auto"/>
            <w:tcMar>
              <w:top w:w="0" w:type="dxa"/>
              <w:bottom w:w="0" w:type="dxa"/>
            </w:tcMar>
            <w:vAlign w:val="center"/>
          </w:tcPr>
          <w:p w14:paraId="0DDDD7A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Coefficient</w:t>
            </w:r>
          </w:p>
        </w:tc>
        <w:tc>
          <w:tcPr>
            <w:tcW w:w="900" w:type="pct"/>
            <w:shd w:val="clear" w:color="auto" w:fill="auto"/>
            <w:tcMar>
              <w:top w:w="0" w:type="dxa"/>
              <w:bottom w:w="0" w:type="dxa"/>
            </w:tcMar>
            <w:vAlign w:val="center"/>
          </w:tcPr>
          <w:p w14:paraId="12A7CE49"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Allocation level/Group</w:t>
            </w:r>
          </w:p>
        </w:tc>
        <w:tc>
          <w:tcPr>
            <w:tcW w:w="1148" w:type="pct"/>
            <w:shd w:val="clear" w:color="auto" w:fill="auto"/>
            <w:tcMar>
              <w:top w:w="0" w:type="dxa"/>
              <w:bottom w:w="0" w:type="dxa"/>
            </w:tcMar>
            <w:vAlign w:val="center"/>
          </w:tcPr>
          <w:p w14:paraId="4AA1701B"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Total shares</w:t>
            </w:r>
          </w:p>
        </w:tc>
      </w:tr>
      <w:tr w:rsidR="00EF3F0D" w:rsidRPr="00EF3F0D" w14:paraId="5748287B" w14:textId="77777777" w:rsidTr="00EF3F0D">
        <w:tc>
          <w:tcPr>
            <w:tcW w:w="548" w:type="pct"/>
            <w:shd w:val="clear" w:color="auto" w:fill="auto"/>
            <w:tcMar>
              <w:top w:w="0" w:type="dxa"/>
              <w:bottom w:w="0" w:type="dxa"/>
            </w:tcMar>
            <w:vAlign w:val="center"/>
          </w:tcPr>
          <w:p w14:paraId="49A0FF85"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w:t>
            </w:r>
          </w:p>
        </w:tc>
        <w:tc>
          <w:tcPr>
            <w:tcW w:w="1059" w:type="pct"/>
            <w:shd w:val="clear" w:color="auto" w:fill="auto"/>
            <w:tcMar>
              <w:top w:w="0" w:type="dxa"/>
              <w:bottom w:w="0" w:type="dxa"/>
            </w:tcMar>
            <w:vAlign w:val="center"/>
          </w:tcPr>
          <w:p w14:paraId="40777AD1"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1</w:t>
            </w:r>
          </w:p>
        </w:tc>
        <w:tc>
          <w:tcPr>
            <w:tcW w:w="671" w:type="pct"/>
            <w:shd w:val="clear" w:color="auto" w:fill="auto"/>
            <w:tcMar>
              <w:top w:w="0" w:type="dxa"/>
              <w:bottom w:w="0" w:type="dxa"/>
            </w:tcMar>
            <w:vAlign w:val="center"/>
          </w:tcPr>
          <w:p w14:paraId="42AF742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w:t>
            </w:r>
          </w:p>
        </w:tc>
        <w:tc>
          <w:tcPr>
            <w:tcW w:w="674" w:type="pct"/>
            <w:shd w:val="clear" w:color="auto" w:fill="auto"/>
            <w:tcMar>
              <w:top w:w="0" w:type="dxa"/>
              <w:bottom w:w="0" w:type="dxa"/>
            </w:tcMar>
            <w:vAlign w:val="center"/>
          </w:tcPr>
          <w:p w14:paraId="6008AA6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2</w:t>
            </w:r>
          </w:p>
        </w:tc>
        <w:tc>
          <w:tcPr>
            <w:tcW w:w="900" w:type="pct"/>
            <w:shd w:val="clear" w:color="auto" w:fill="auto"/>
            <w:tcMar>
              <w:top w:w="0" w:type="dxa"/>
              <w:bottom w:w="0" w:type="dxa"/>
            </w:tcMar>
            <w:vAlign w:val="center"/>
          </w:tcPr>
          <w:p w14:paraId="477F0DC2"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958,198</w:t>
            </w:r>
          </w:p>
        </w:tc>
        <w:tc>
          <w:tcPr>
            <w:tcW w:w="1148" w:type="pct"/>
            <w:shd w:val="clear" w:color="auto" w:fill="auto"/>
            <w:tcMar>
              <w:top w:w="0" w:type="dxa"/>
              <w:bottom w:w="0" w:type="dxa"/>
            </w:tcMar>
            <w:vAlign w:val="center"/>
          </w:tcPr>
          <w:p w14:paraId="703FB679"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958,198</w:t>
            </w:r>
          </w:p>
        </w:tc>
      </w:tr>
      <w:tr w:rsidR="00EF3F0D" w:rsidRPr="00EF3F0D" w14:paraId="47E56439" w14:textId="77777777" w:rsidTr="00EF3F0D">
        <w:tc>
          <w:tcPr>
            <w:tcW w:w="548" w:type="pct"/>
            <w:shd w:val="clear" w:color="auto" w:fill="auto"/>
            <w:tcMar>
              <w:top w:w="0" w:type="dxa"/>
              <w:bottom w:w="0" w:type="dxa"/>
            </w:tcMar>
            <w:vAlign w:val="center"/>
          </w:tcPr>
          <w:p w14:paraId="0645DF83"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2</w:t>
            </w:r>
          </w:p>
        </w:tc>
        <w:tc>
          <w:tcPr>
            <w:tcW w:w="1059" w:type="pct"/>
            <w:shd w:val="clear" w:color="auto" w:fill="auto"/>
            <w:tcMar>
              <w:top w:w="0" w:type="dxa"/>
              <w:bottom w:w="0" w:type="dxa"/>
            </w:tcMar>
            <w:vAlign w:val="center"/>
          </w:tcPr>
          <w:p w14:paraId="419C5C7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2</w:t>
            </w:r>
          </w:p>
        </w:tc>
        <w:tc>
          <w:tcPr>
            <w:tcW w:w="671" w:type="pct"/>
            <w:shd w:val="clear" w:color="auto" w:fill="auto"/>
            <w:tcMar>
              <w:top w:w="0" w:type="dxa"/>
              <w:bottom w:w="0" w:type="dxa"/>
            </w:tcMar>
            <w:vAlign w:val="center"/>
          </w:tcPr>
          <w:p w14:paraId="2694EE38"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2</w:t>
            </w:r>
          </w:p>
        </w:tc>
        <w:tc>
          <w:tcPr>
            <w:tcW w:w="674" w:type="pct"/>
            <w:shd w:val="clear" w:color="auto" w:fill="auto"/>
            <w:tcMar>
              <w:top w:w="0" w:type="dxa"/>
              <w:bottom w:w="0" w:type="dxa"/>
            </w:tcMar>
            <w:vAlign w:val="center"/>
          </w:tcPr>
          <w:p w14:paraId="3A83A6C5"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1.35</w:t>
            </w:r>
          </w:p>
        </w:tc>
        <w:tc>
          <w:tcPr>
            <w:tcW w:w="900" w:type="pct"/>
            <w:shd w:val="clear" w:color="auto" w:fill="auto"/>
            <w:tcMar>
              <w:top w:w="0" w:type="dxa"/>
              <w:bottom w:w="0" w:type="dxa"/>
            </w:tcMar>
            <w:vAlign w:val="center"/>
          </w:tcPr>
          <w:p w14:paraId="67A1B7E5"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650,000</w:t>
            </w:r>
          </w:p>
        </w:tc>
        <w:tc>
          <w:tcPr>
            <w:tcW w:w="1148" w:type="pct"/>
            <w:shd w:val="clear" w:color="auto" w:fill="auto"/>
            <w:tcMar>
              <w:top w:w="0" w:type="dxa"/>
              <w:bottom w:w="0" w:type="dxa"/>
            </w:tcMar>
            <w:vAlign w:val="center"/>
          </w:tcPr>
          <w:p w14:paraId="4218AE59"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1,300,000</w:t>
            </w:r>
          </w:p>
        </w:tc>
      </w:tr>
      <w:tr w:rsidR="00EF3F0D" w:rsidRPr="00EF3F0D" w14:paraId="0CB19305" w14:textId="77777777" w:rsidTr="00EF3F0D">
        <w:tc>
          <w:tcPr>
            <w:tcW w:w="548" w:type="pct"/>
            <w:shd w:val="clear" w:color="auto" w:fill="auto"/>
            <w:tcMar>
              <w:top w:w="0" w:type="dxa"/>
              <w:bottom w:w="0" w:type="dxa"/>
            </w:tcMar>
            <w:vAlign w:val="center"/>
          </w:tcPr>
          <w:p w14:paraId="4642BB05"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3</w:t>
            </w:r>
          </w:p>
        </w:tc>
        <w:tc>
          <w:tcPr>
            <w:tcW w:w="1059" w:type="pct"/>
            <w:shd w:val="clear" w:color="auto" w:fill="auto"/>
            <w:tcMar>
              <w:top w:w="0" w:type="dxa"/>
              <w:bottom w:w="0" w:type="dxa"/>
            </w:tcMar>
            <w:vAlign w:val="center"/>
          </w:tcPr>
          <w:p w14:paraId="090D8044"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3</w:t>
            </w:r>
          </w:p>
        </w:tc>
        <w:tc>
          <w:tcPr>
            <w:tcW w:w="671" w:type="pct"/>
            <w:shd w:val="clear" w:color="auto" w:fill="auto"/>
            <w:tcMar>
              <w:top w:w="0" w:type="dxa"/>
              <w:bottom w:w="0" w:type="dxa"/>
            </w:tcMar>
            <w:vAlign w:val="center"/>
          </w:tcPr>
          <w:p w14:paraId="65FE7530"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6</w:t>
            </w:r>
          </w:p>
        </w:tc>
        <w:tc>
          <w:tcPr>
            <w:tcW w:w="674" w:type="pct"/>
            <w:shd w:val="clear" w:color="auto" w:fill="auto"/>
            <w:tcMar>
              <w:top w:w="0" w:type="dxa"/>
              <w:bottom w:w="0" w:type="dxa"/>
            </w:tcMar>
            <w:vAlign w:val="center"/>
          </w:tcPr>
          <w:p w14:paraId="6DE28D06"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w:t>
            </w:r>
          </w:p>
        </w:tc>
        <w:tc>
          <w:tcPr>
            <w:tcW w:w="900" w:type="pct"/>
            <w:shd w:val="clear" w:color="auto" w:fill="auto"/>
            <w:tcMar>
              <w:top w:w="0" w:type="dxa"/>
              <w:bottom w:w="0" w:type="dxa"/>
            </w:tcMar>
            <w:vAlign w:val="center"/>
          </w:tcPr>
          <w:p w14:paraId="2749102C"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480,000</w:t>
            </w:r>
          </w:p>
        </w:tc>
        <w:tc>
          <w:tcPr>
            <w:tcW w:w="1148" w:type="pct"/>
            <w:shd w:val="clear" w:color="auto" w:fill="auto"/>
            <w:tcMar>
              <w:top w:w="0" w:type="dxa"/>
              <w:bottom w:w="0" w:type="dxa"/>
            </w:tcMar>
            <w:vAlign w:val="center"/>
          </w:tcPr>
          <w:p w14:paraId="38FE3E87"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2,880,000</w:t>
            </w:r>
          </w:p>
        </w:tc>
      </w:tr>
      <w:tr w:rsidR="00EF3F0D" w:rsidRPr="00EF3F0D" w14:paraId="0CDFB306" w14:textId="77777777" w:rsidTr="00EF3F0D">
        <w:tc>
          <w:tcPr>
            <w:tcW w:w="548" w:type="pct"/>
            <w:shd w:val="clear" w:color="auto" w:fill="auto"/>
            <w:tcMar>
              <w:top w:w="0" w:type="dxa"/>
              <w:bottom w:w="0" w:type="dxa"/>
            </w:tcMar>
            <w:vAlign w:val="center"/>
          </w:tcPr>
          <w:p w14:paraId="1361CF5B"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4</w:t>
            </w:r>
          </w:p>
        </w:tc>
        <w:tc>
          <w:tcPr>
            <w:tcW w:w="1059" w:type="pct"/>
            <w:shd w:val="clear" w:color="auto" w:fill="auto"/>
            <w:tcMar>
              <w:top w:w="0" w:type="dxa"/>
              <w:bottom w:w="0" w:type="dxa"/>
            </w:tcMar>
            <w:vAlign w:val="center"/>
          </w:tcPr>
          <w:p w14:paraId="2A5C93C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4</w:t>
            </w:r>
          </w:p>
        </w:tc>
        <w:tc>
          <w:tcPr>
            <w:tcW w:w="671" w:type="pct"/>
            <w:shd w:val="clear" w:color="auto" w:fill="auto"/>
            <w:tcMar>
              <w:top w:w="0" w:type="dxa"/>
              <w:bottom w:w="0" w:type="dxa"/>
            </w:tcMar>
            <w:vAlign w:val="center"/>
          </w:tcPr>
          <w:p w14:paraId="3C9EECB9"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7</w:t>
            </w:r>
          </w:p>
        </w:tc>
        <w:tc>
          <w:tcPr>
            <w:tcW w:w="674" w:type="pct"/>
            <w:shd w:val="clear" w:color="auto" w:fill="auto"/>
            <w:tcMar>
              <w:top w:w="0" w:type="dxa"/>
              <w:bottom w:w="0" w:type="dxa"/>
            </w:tcMar>
            <w:vAlign w:val="center"/>
          </w:tcPr>
          <w:p w14:paraId="37EC5976"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0.67</w:t>
            </w:r>
          </w:p>
        </w:tc>
        <w:tc>
          <w:tcPr>
            <w:tcW w:w="900" w:type="pct"/>
            <w:shd w:val="clear" w:color="auto" w:fill="auto"/>
            <w:tcMar>
              <w:top w:w="0" w:type="dxa"/>
              <w:bottom w:w="0" w:type="dxa"/>
            </w:tcMar>
            <w:vAlign w:val="center"/>
          </w:tcPr>
          <w:p w14:paraId="0130DF0F"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320,000</w:t>
            </w:r>
          </w:p>
        </w:tc>
        <w:tc>
          <w:tcPr>
            <w:tcW w:w="1148" w:type="pct"/>
            <w:shd w:val="clear" w:color="auto" w:fill="auto"/>
            <w:tcMar>
              <w:top w:w="0" w:type="dxa"/>
              <w:bottom w:w="0" w:type="dxa"/>
            </w:tcMar>
            <w:vAlign w:val="center"/>
          </w:tcPr>
          <w:p w14:paraId="4AE9F819"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2,240,000</w:t>
            </w:r>
          </w:p>
        </w:tc>
      </w:tr>
      <w:tr w:rsidR="00EF3F0D" w:rsidRPr="00EF3F0D" w14:paraId="60CEC8E9" w14:textId="77777777" w:rsidTr="00EF3F0D">
        <w:tc>
          <w:tcPr>
            <w:tcW w:w="548" w:type="pct"/>
            <w:shd w:val="clear" w:color="auto" w:fill="auto"/>
            <w:tcMar>
              <w:top w:w="0" w:type="dxa"/>
              <w:bottom w:w="0" w:type="dxa"/>
            </w:tcMar>
            <w:vAlign w:val="center"/>
          </w:tcPr>
          <w:p w14:paraId="7CE3A73F"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5</w:t>
            </w:r>
          </w:p>
        </w:tc>
        <w:tc>
          <w:tcPr>
            <w:tcW w:w="1059" w:type="pct"/>
            <w:shd w:val="clear" w:color="auto" w:fill="auto"/>
            <w:tcMar>
              <w:top w:w="0" w:type="dxa"/>
              <w:bottom w:w="0" w:type="dxa"/>
            </w:tcMar>
            <w:vAlign w:val="center"/>
          </w:tcPr>
          <w:p w14:paraId="44941353"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5</w:t>
            </w:r>
          </w:p>
        </w:tc>
        <w:tc>
          <w:tcPr>
            <w:tcW w:w="671" w:type="pct"/>
            <w:shd w:val="clear" w:color="auto" w:fill="auto"/>
            <w:tcMar>
              <w:top w:w="0" w:type="dxa"/>
              <w:bottom w:w="0" w:type="dxa"/>
            </w:tcMar>
            <w:vAlign w:val="center"/>
          </w:tcPr>
          <w:p w14:paraId="7FB61F4E"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7</w:t>
            </w:r>
          </w:p>
        </w:tc>
        <w:tc>
          <w:tcPr>
            <w:tcW w:w="674" w:type="pct"/>
            <w:shd w:val="clear" w:color="auto" w:fill="auto"/>
            <w:tcMar>
              <w:top w:w="0" w:type="dxa"/>
              <w:bottom w:w="0" w:type="dxa"/>
            </w:tcMar>
            <w:vAlign w:val="center"/>
          </w:tcPr>
          <w:p w14:paraId="08DBF078"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0.375</w:t>
            </w:r>
          </w:p>
        </w:tc>
        <w:tc>
          <w:tcPr>
            <w:tcW w:w="900" w:type="pct"/>
            <w:shd w:val="clear" w:color="auto" w:fill="auto"/>
            <w:tcMar>
              <w:top w:w="0" w:type="dxa"/>
              <w:bottom w:w="0" w:type="dxa"/>
            </w:tcMar>
            <w:vAlign w:val="center"/>
          </w:tcPr>
          <w:p w14:paraId="78A4EC41"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180,000</w:t>
            </w:r>
          </w:p>
        </w:tc>
        <w:tc>
          <w:tcPr>
            <w:tcW w:w="1148" w:type="pct"/>
            <w:shd w:val="clear" w:color="auto" w:fill="auto"/>
            <w:tcMar>
              <w:top w:w="0" w:type="dxa"/>
              <w:bottom w:w="0" w:type="dxa"/>
            </w:tcMar>
            <w:vAlign w:val="center"/>
          </w:tcPr>
          <w:p w14:paraId="6A087073"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1,260,000</w:t>
            </w:r>
          </w:p>
        </w:tc>
      </w:tr>
      <w:tr w:rsidR="00EF3F0D" w:rsidRPr="00EF3F0D" w14:paraId="2781058F" w14:textId="77777777" w:rsidTr="00EF3F0D">
        <w:tc>
          <w:tcPr>
            <w:tcW w:w="548" w:type="pct"/>
            <w:shd w:val="clear" w:color="auto" w:fill="auto"/>
            <w:tcMar>
              <w:top w:w="0" w:type="dxa"/>
              <w:bottom w:w="0" w:type="dxa"/>
            </w:tcMar>
            <w:vAlign w:val="center"/>
          </w:tcPr>
          <w:p w14:paraId="77FE8A60"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6</w:t>
            </w:r>
          </w:p>
        </w:tc>
        <w:tc>
          <w:tcPr>
            <w:tcW w:w="1059" w:type="pct"/>
            <w:shd w:val="clear" w:color="auto" w:fill="auto"/>
            <w:tcMar>
              <w:top w:w="0" w:type="dxa"/>
              <w:bottom w:w="0" w:type="dxa"/>
            </w:tcMar>
            <w:vAlign w:val="center"/>
          </w:tcPr>
          <w:p w14:paraId="7B0F8F1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6</w:t>
            </w:r>
          </w:p>
        </w:tc>
        <w:tc>
          <w:tcPr>
            <w:tcW w:w="671" w:type="pct"/>
            <w:shd w:val="clear" w:color="auto" w:fill="auto"/>
            <w:tcMar>
              <w:top w:w="0" w:type="dxa"/>
              <w:bottom w:w="0" w:type="dxa"/>
            </w:tcMar>
            <w:vAlign w:val="center"/>
          </w:tcPr>
          <w:p w14:paraId="1EF250AF"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9</w:t>
            </w:r>
          </w:p>
        </w:tc>
        <w:tc>
          <w:tcPr>
            <w:tcW w:w="674" w:type="pct"/>
            <w:shd w:val="clear" w:color="auto" w:fill="auto"/>
            <w:tcMar>
              <w:top w:w="0" w:type="dxa"/>
              <w:bottom w:w="0" w:type="dxa"/>
            </w:tcMar>
            <w:vAlign w:val="center"/>
          </w:tcPr>
          <w:p w14:paraId="510E1ADF"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0.21</w:t>
            </w:r>
          </w:p>
        </w:tc>
        <w:tc>
          <w:tcPr>
            <w:tcW w:w="900" w:type="pct"/>
            <w:shd w:val="clear" w:color="auto" w:fill="auto"/>
            <w:tcMar>
              <w:top w:w="0" w:type="dxa"/>
              <w:bottom w:w="0" w:type="dxa"/>
            </w:tcMar>
            <w:vAlign w:val="center"/>
          </w:tcPr>
          <w:p w14:paraId="2529B9E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100,000</w:t>
            </w:r>
          </w:p>
        </w:tc>
        <w:tc>
          <w:tcPr>
            <w:tcW w:w="1148" w:type="pct"/>
            <w:shd w:val="clear" w:color="auto" w:fill="auto"/>
            <w:tcMar>
              <w:top w:w="0" w:type="dxa"/>
              <w:bottom w:w="0" w:type="dxa"/>
            </w:tcMar>
            <w:vAlign w:val="center"/>
          </w:tcPr>
          <w:p w14:paraId="4CCE7590"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900,000</w:t>
            </w:r>
          </w:p>
        </w:tc>
      </w:tr>
      <w:tr w:rsidR="00EF3F0D" w:rsidRPr="00EF3F0D" w14:paraId="5F1FCC9D" w14:textId="77777777" w:rsidTr="00EF3F0D">
        <w:tc>
          <w:tcPr>
            <w:tcW w:w="548" w:type="pct"/>
            <w:shd w:val="clear" w:color="auto" w:fill="auto"/>
            <w:tcMar>
              <w:top w:w="0" w:type="dxa"/>
              <w:bottom w:w="0" w:type="dxa"/>
            </w:tcMar>
            <w:vAlign w:val="center"/>
          </w:tcPr>
          <w:p w14:paraId="1BBEF62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7</w:t>
            </w:r>
          </w:p>
        </w:tc>
        <w:tc>
          <w:tcPr>
            <w:tcW w:w="1059" w:type="pct"/>
            <w:shd w:val="clear" w:color="auto" w:fill="auto"/>
            <w:tcMar>
              <w:top w:w="0" w:type="dxa"/>
              <w:bottom w:w="0" w:type="dxa"/>
            </w:tcMar>
            <w:vAlign w:val="center"/>
          </w:tcPr>
          <w:p w14:paraId="07F6CACF"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Group 7</w:t>
            </w:r>
          </w:p>
        </w:tc>
        <w:tc>
          <w:tcPr>
            <w:tcW w:w="671" w:type="pct"/>
            <w:shd w:val="clear" w:color="auto" w:fill="auto"/>
            <w:tcMar>
              <w:top w:w="0" w:type="dxa"/>
              <w:bottom w:w="0" w:type="dxa"/>
            </w:tcMar>
            <w:vAlign w:val="center"/>
          </w:tcPr>
          <w:p w14:paraId="21CF0BFE"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18</w:t>
            </w:r>
          </w:p>
        </w:tc>
        <w:tc>
          <w:tcPr>
            <w:tcW w:w="674" w:type="pct"/>
            <w:shd w:val="clear" w:color="auto" w:fill="auto"/>
            <w:tcMar>
              <w:top w:w="0" w:type="dxa"/>
              <w:bottom w:w="0" w:type="dxa"/>
            </w:tcMar>
            <w:vAlign w:val="center"/>
          </w:tcPr>
          <w:p w14:paraId="1F0BC9DF"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0.135</w:t>
            </w:r>
          </w:p>
        </w:tc>
        <w:tc>
          <w:tcPr>
            <w:tcW w:w="900" w:type="pct"/>
            <w:shd w:val="clear" w:color="auto" w:fill="auto"/>
            <w:tcMar>
              <w:top w:w="0" w:type="dxa"/>
              <w:bottom w:w="0" w:type="dxa"/>
            </w:tcMar>
            <w:vAlign w:val="center"/>
          </w:tcPr>
          <w:p w14:paraId="224C2523"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65,000</w:t>
            </w:r>
          </w:p>
        </w:tc>
        <w:tc>
          <w:tcPr>
            <w:tcW w:w="1148" w:type="pct"/>
            <w:shd w:val="clear" w:color="auto" w:fill="auto"/>
            <w:tcMar>
              <w:top w:w="0" w:type="dxa"/>
              <w:bottom w:w="0" w:type="dxa"/>
            </w:tcMar>
            <w:vAlign w:val="center"/>
          </w:tcPr>
          <w:p w14:paraId="5E39813C"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1,170,000</w:t>
            </w:r>
          </w:p>
        </w:tc>
      </w:tr>
      <w:tr w:rsidR="00EF3F0D" w:rsidRPr="00EF3F0D" w14:paraId="30608A2D" w14:textId="77777777" w:rsidTr="00EF3F0D">
        <w:tc>
          <w:tcPr>
            <w:tcW w:w="548" w:type="pct"/>
            <w:shd w:val="clear" w:color="auto" w:fill="auto"/>
            <w:tcMar>
              <w:top w:w="0" w:type="dxa"/>
              <w:bottom w:w="0" w:type="dxa"/>
            </w:tcMar>
            <w:vAlign w:val="center"/>
          </w:tcPr>
          <w:p w14:paraId="61F97980" w14:textId="77777777" w:rsidR="00B3790A" w:rsidRPr="00EF3F0D" w:rsidRDefault="00B3790A" w:rsidP="00EF3F0D">
            <w:pPr>
              <w:tabs>
                <w:tab w:val="left" w:pos="432"/>
              </w:tabs>
              <w:spacing w:after="120" w:line="360" w:lineRule="auto"/>
              <w:rPr>
                <w:rFonts w:ascii="Arial" w:eastAsia="Arial" w:hAnsi="Arial" w:cs="Arial"/>
                <w:color w:val="010000"/>
                <w:sz w:val="20"/>
                <w:szCs w:val="20"/>
              </w:rPr>
            </w:pPr>
          </w:p>
        </w:tc>
        <w:tc>
          <w:tcPr>
            <w:tcW w:w="1059" w:type="pct"/>
            <w:shd w:val="clear" w:color="auto" w:fill="auto"/>
            <w:tcMar>
              <w:top w:w="0" w:type="dxa"/>
              <w:bottom w:w="0" w:type="dxa"/>
            </w:tcMar>
            <w:vAlign w:val="center"/>
          </w:tcPr>
          <w:p w14:paraId="3AB714DE"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Total</w:t>
            </w:r>
          </w:p>
        </w:tc>
        <w:tc>
          <w:tcPr>
            <w:tcW w:w="671" w:type="pct"/>
            <w:shd w:val="clear" w:color="auto" w:fill="auto"/>
            <w:tcMar>
              <w:top w:w="0" w:type="dxa"/>
              <w:bottom w:w="0" w:type="dxa"/>
            </w:tcMar>
            <w:vAlign w:val="center"/>
          </w:tcPr>
          <w:p w14:paraId="1CA85BAC"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50</w:t>
            </w:r>
          </w:p>
        </w:tc>
        <w:tc>
          <w:tcPr>
            <w:tcW w:w="674" w:type="pct"/>
            <w:shd w:val="clear" w:color="auto" w:fill="auto"/>
            <w:tcMar>
              <w:top w:w="0" w:type="dxa"/>
              <w:bottom w:w="0" w:type="dxa"/>
            </w:tcMar>
            <w:vAlign w:val="center"/>
          </w:tcPr>
          <w:p w14:paraId="01D192DB" w14:textId="77777777" w:rsidR="00B3790A" w:rsidRPr="00EF3F0D" w:rsidRDefault="00B3790A" w:rsidP="00EF3F0D">
            <w:pPr>
              <w:tabs>
                <w:tab w:val="left" w:pos="432"/>
              </w:tabs>
              <w:spacing w:after="120" w:line="360" w:lineRule="auto"/>
              <w:rPr>
                <w:rFonts w:ascii="Arial" w:eastAsia="Arial" w:hAnsi="Arial" w:cs="Arial"/>
                <w:color w:val="010000"/>
                <w:sz w:val="20"/>
                <w:szCs w:val="20"/>
              </w:rPr>
            </w:pPr>
          </w:p>
        </w:tc>
        <w:tc>
          <w:tcPr>
            <w:tcW w:w="900" w:type="pct"/>
            <w:shd w:val="clear" w:color="auto" w:fill="auto"/>
            <w:tcMar>
              <w:top w:w="0" w:type="dxa"/>
              <w:bottom w:w="0" w:type="dxa"/>
            </w:tcMar>
            <w:vAlign w:val="center"/>
          </w:tcPr>
          <w:p w14:paraId="5FFB85F7" w14:textId="77777777" w:rsidR="00B3790A" w:rsidRPr="00EF3F0D" w:rsidRDefault="00B3790A" w:rsidP="00EF3F0D">
            <w:pPr>
              <w:tabs>
                <w:tab w:val="left" w:pos="432"/>
              </w:tabs>
              <w:spacing w:after="120" w:line="360" w:lineRule="auto"/>
              <w:rPr>
                <w:rFonts w:ascii="Arial" w:eastAsia="Arial" w:hAnsi="Arial" w:cs="Arial"/>
                <w:color w:val="010000"/>
                <w:sz w:val="20"/>
                <w:szCs w:val="20"/>
              </w:rPr>
            </w:pPr>
          </w:p>
        </w:tc>
        <w:tc>
          <w:tcPr>
            <w:tcW w:w="1148" w:type="pct"/>
            <w:shd w:val="clear" w:color="auto" w:fill="auto"/>
            <w:tcMar>
              <w:top w:w="0" w:type="dxa"/>
              <w:bottom w:w="0" w:type="dxa"/>
            </w:tcMar>
            <w:vAlign w:val="center"/>
          </w:tcPr>
          <w:p w14:paraId="4F4F4D97"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10,708,198</w:t>
            </w:r>
          </w:p>
        </w:tc>
      </w:tr>
    </w:tbl>
    <w:p w14:paraId="02A19E8B" w14:textId="77777777" w:rsidR="00B3790A" w:rsidRPr="00EF3F0D" w:rsidRDefault="00EF3F0D" w:rsidP="00EF3F0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F3F0D">
        <w:rPr>
          <w:rFonts w:ascii="Arial" w:hAnsi="Arial" w:cs="Arial"/>
          <w:color w:val="010000"/>
          <w:sz w:val="20"/>
        </w:rPr>
        <w:t>The specific list of selected employees of each group and the number of shares allocated to each employee is attached to this Resolution in Appendix I.</w:t>
      </w:r>
    </w:p>
    <w:p w14:paraId="0D4BE4D6" w14:textId="77777777" w:rsidR="00B3790A" w:rsidRPr="00EF3F0D" w:rsidRDefault="00EF3F0D" w:rsidP="00EF3F0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F3F0D">
        <w:rPr>
          <w:rFonts w:ascii="Arial" w:hAnsi="Arial" w:cs="Arial"/>
          <w:color w:val="010000"/>
          <w:sz w:val="20"/>
        </w:rPr>
        <w:t xml:space="preserve">In case the employee only registers to buy a part or does not buy the number of shares, the employee is entitled to buy. The Board of Directors, according to the authorization approved by the General Meeting of Shareholders 2024, has the right to decide on a solution for the shares not fully </w:t>
      </w:r>
      <w:r w:rsidRPr="00EF3F0D">
        <w:rPr>
          <w:rFonts w:ascii="Arial" w:hAnsi="Arial" w:cs="Arial"/>
          <w:color w:val="010000"/>
          <w:sz w:val="20"/>
        </w:rPr>
        <w:lastRenderedPageBreak/>
        <w:t>purchased (including redistribution to other subjects such as employees under the conditions and methods that the Board of Directors deems appropriate) with the offering conditions not being more favorable than the offering conditions to employees under the ESOP or not issuing that number of shares.</w:t>
      </w:r>
    </w:p>
    <w:p w14:paraId="33968AE9" w14:textId="77777777" w:rsidR="00B3790A" w:rsidRPr="00EF3F0D" w:rsidRDefault="00EF3F0D" w:rsidP="00EF3F0D">
      <w:pPr>
        <w:numPr>
          <w:ilvl w:val="0"/>
          <w:numId w:val="3"/>
        </w:numPr>
        <w:pBdr>
          <w:top w:val="nil"/>
          <w:left w:val="nil"/>
          <w:bottom w:val="nil"/>
          <w:right w:val="nil"/>
          <w:between w:val="nil"/>
        </w:pBdr>
        <w:tabs>
          <w:tab w:val="left" w:pos="432"/>
          <w:tab w:val="left" w:pos="1975"/>
        </w:tabs>
        <w:spacing w:after="120" w:line="360" w:lineRule="auto"/>
        <w:rPr>
          <w:rFonts w:ascii="Arial" w:eastAsia="Arial" w:hAnsi="Arial" w:cs="Arial"/>
          <w:color w:val="010000"/>
          <w:sz w:val="20"/>
          <w:szCs w:val="20"/>
        </w:rPr>
      </w:pPr>
      <w:r w:rsidRPr="00EF3F0D">
        <w:rPr>
          <w:rFonts w:ascii="Arial" w:hAnsi="Arial" w:cs="Arial"/>
          <w:color w:val="010000"/>
          <w:sz w:val="20"/>
        </w:rPr>
        <w:t>Transfer restriction:</w:t>
      </w:r>
    </w:p>
    <w:p w14:paraId="315BDAB6" w14:textId="77777777" w:rsidR="00B3790A" w:rsidRPr="00EF3F0D" w:rsidRDefault="00EF3F0D" w:rsidP="00EF3F0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F3F0D">
        <w:rPr>
          <w:rFonts w:ascii="Arial" w:hAnsi="Arial" w:cs="Arial"/>
          <w:color w:val="010000"/>
          <w:sz w:val="20"/>
        </w:rPr>
        <w:t>Shares sold to employees under the ESOP cannot be transferred within 3 years from the issue date.</w:t>
      </w:r>
    </w:p>
    <w:p w14:paraId="2BE24D0D" w14:textId="61C73FE1" w:rsidR="00B3790A" w:rsidRPr="00EF3F0D" w:rsidRDefault="00EF3F0D" w:rsidP="00EF3F0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F3F0D">
        <w:rPr>
          <w:rFonts w:ascii="Arial" w:hAnsi="Arial" w:cs="Arial"/>
          <w:color w:val="010000"/>
          <w:sz w:val="20"/>
        </w:rPr>
        <w:t>If during the transfer restriction period, employees who purchased shares under the ESOP would like to terminate the labor contract with the Company for any reason (except in cases where the employees retire according to the full regime or in force majeure cases such as death or serious accident, making them unable to continue working), the Company's Trade Union - the organization representing the employees of the Company will use money from the Company's Employee Compassion Fund to buy back all shares issued under the ESOP, before resolving the procedures for terminating the labor contract with the employees and the buyback price is equal to the price at the time the Company issued it to the employees.</w:t>
      </w:r>
    </w:p>
    <w:p w14:paraId="23B2AE26" w14:textId="77777777" w:rsidR="00B3790A" w:rsidRPr="00EF3F0D" w:rsidRDefault="00EF3F0D" w:rsidP="00EF3F0D">
      <w:pPr>
        <w:numPr>
          <w:ilvl w:val="0"/>
          <w:numId w:val="3"/>
        </w:numPr>
        <w:pBdr>
          <w:top w:val="nil"/>
          <w:left w:val="nil"/>
          <w:bottom w:val="nil"/>
          <w:right w:val="nil"/>
          <w:between w:val="nil"/>
        </w:pBdr>
        <w:tabs>
          <w:tab w:val="left" w:pos="432"/>
          <w:tab w:val="left" w:pos="1955"/>
        </w:tabs>
        <w:spacing w:after="120" w:line="360" w:lineRule="auto"/>
        <w:rPr>
          <w:rFonts w:ascii="Arial" w:eastAsia="Arial" w:hAnsi="Arial" w:cs="Arial"/>
          <w:color w:val="010000"/>
          <w:sz w:val="20"/>
          <w:szCs w:val="20"/>
        </w:rPr>
      </w:pPr>
      <w:r w:rsidRPr="00EF3F0D">
        <w:rPr>
          <w:rFonts w:ascii="Arial" w:hAnsi="Arial" w:cs="Arial"/>
          <w:color w:val="010000"/>
          <w:sz w:val="20"/>
        </w:rPr>
        <w:t>Issue time: From May to June 2024, after reporting to the State Securities Commission (SSC) and disclosing information according to regulations.</w:t>
      </w:r>
    </w:p>
    <w:p w14:paraId="18CFAF67"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‎‎Article 2. Approve transactions and contracts between the Company and related parties.</w:t>
      </w:r>
    </w:p>
    <w:p w14:paraId="7288B81A" w14:textId="77777777" w:rsidR="00B3790A" w:rsidRPr="00EF3F0D" w:rsidRDefault="00EF3F0D" w:rsidP="00EF3F0D">
      <w:pPr>
        <w:numPr>
          <w:ilvl w:val="0"/>
          <w:numId w:val="4"/>
        </w:numPr>
        <w:pBdr>
          <w:top w:val="nil"/>
          <w:left w:val="nil"/>
          <w:bottom w:val="nil"/>
          <w:right w:val="nil"/>
          <w:between w:val="nil"/>
        </w:pBdr>
        <w:tabs>
          <w:tab w:val="left" w:pos="432"/>
          <w:tab w:val="left" w:pos="2070"/>
        </w:tabs>
        <w:spacing w:after="120" w:line="360" w:lineRule="auto"/>
        <w:rPr>
          <w:rFonts w:ascii="Arial" w:eastAsia="Arial" w:hAnsi="Arial" w:cs="Arial"/>
          <w:color w:val="010000"/>
          <w:sz w:val="20"/>
          <w:szCs w:val="20"/>
        </w:rPr>
      </w:pPr>
      <w:r w:rsidRPr="00EF3F0D">
        <w:rPr>
          <w:rFonts w:ascii="Arial" w:hAnsi="Arial" w:cs="Arial"/>
          <w:color w:val="010000"/>
          <w:sz w:val="20"/>
        </w:rPr>
        <w:t xml:space="preserve">Approve transactions and contracts between the Company and Phuc Thinh One Member Company Limited (tentatively translated) (tax code: 4300371820), an enterprise owned by Mr. Nguyen Thanh Huy's brother-in-law (Member of the Supervisory Board). </w:t>
      </w:r>
    </w:p>
    <w:p w14:paraId="020BB00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(Appendix II attached).</w:t>
      </w:r>
    </w:p>
    <w:p w14:paraId="156DA27D" w14:textId="77777777" w:rsidR="00B3790A" w:rsidRPr="00EF3F0D" w:rsidRDefault="00EF3F0D" w:rsidP="00EF3F0D">
      <w:pPr>
        <w:numPr>
          <w:ilvl w:val="0"/>
          <w:numId w:val="4"/>
        </w:numPr>
        <w:pBdr>
          <w:top w:val="nil"/>
          <w:left w:val="nil"/>
          <w:bottom w:val="nil"/>
          <w:right w:val="nil"/>
          <w:between w:val="nil"/>
        </w:pBdr>
        <w:tabs>
          <w:tab w:val="left" w:pos="432"/>
          <w:tab w:val="left" w:pos="1556"/>
        </w:tabs>
        <w:spacing w:after="120" w:line="360" w:lineRule="auto"/>
        <w:rPr>
          <w:rFonts w:ascii="Arial" w:eastAsia="Arial" w:hAnsi="Arial" w:cs="Arial"/>
          <w:color w:val="010000"/>
          <w:sz w:val="20"/>
          <w:szCs w:val="20"/>
        </w:rPr>
      </w:pPr>
      <w:r w:rsidRPr="00EF3F0D">
        <w:rPr>
          <w:rFonts w:ascii="Arial" w:hAnsi="Arial" w:cs="Arial"/>
          <w:color w:val="010000"/>
          <w:sz w:val="20"/>
        </w:rPr>
        <w:t xml:space="preserve">Approve transactions and contracts between the Company and Hong Van Service Business One Member Company Limited (tentatively translated) (Tax code: 4300777556), an enterprise owned by Mr. Dang Phu Quy’s wife (Member of the Board of Directors, Deputy General Manager of the Company). </w:t>
      </w:r>
    </w:p>
    <w:p w14:paraId="29FF5EFE"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(Appendix III attached).</w:t>
      </w:r>
    </w:p>
    <w:p w14:paraId="44EC0EFD"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‎‎Article 3. Approved the signing of a 1-year labor contract with the position of Deputy General Manager of Quang Ngai Sugar Joint Stock Company for Mr. Dang Phu Quy.</w:t>
      </w:r>
    </w:p>
    <w:p w14:paraId="2F07DC26" w14:textId="77777777" w:rsidR="00B3790A" w:rsidRPr="00EF3F0D" w:rsidRDefault="00EF3F0D" w:rsidP="00EF3F0D">
      <w:pPr>
        <w:numPr>
          <w:ilvl w:val="0"/>
          <w:numId w:val="3"/>
        </w:numPr>
        <w:pBdr>
          <w:top w:val="nil"/>
          <w:left w:val="nil"/>
          <w:bottom w:val="nil"/>
          <w:right w:val="nil"/>
          <w:between w:val="nil"/>
        </w:pBdr>
        <w:tabs>
          <w:tab w:val="left" w:pos="432"/>
          <w:tab w:val="left" w:pos="1445"/>
        </w:tabs>
        <w:spacing w:after="120" w:line="360" w:lineRule="auto"/>
        <w:rPr>
          <w:rFonts w:ascii="Arial" w:eastAsia="Arial" w:hAnsi="Arial" w:cs="Arial"/>
          <w:color w:val="010000"/>
          <w:sz w:val="20"/>
          <w:szCs w:val="20"/>
        </w:rPr>
      </w:pPr>
      <w:r w:rsidRPr="00EF3F0D">
        <w:rPr>
          <w:rFonts w:ascii="Arial" w:hAnsi="Arial" w:cs="Arial"/>
          <w:color w:val="010000"/>
          <w:sz w:val="20"/>
        </w:rPr>
        <w:t>Salary and other remunerations and benefits as currently enjoyed;</w:t>
      </w:r>
    </w:p>
    <w:p w14:paraId="5B956848" w14:textId="77777777" w:rsidR="00B3790A" w:rsidRPr="00EF3F0D" w:rsidRDefault="00EF3F0D" w:rsidP="00EF3F0D">
      <w:pPr>
        <w:numPr>
          <w:ilvl w:val="0"/>
          <w:numId w:val="3"/>
        </w:numPr>
        <w:pBdr>
          <w:top w:val="nil"/>
          <w:left w:val="nil"/>
          <w:bottom w:val="nil"/>
          <w:right w:val="nil"/>
          <w:between w:val="nil"/>
        </w:pBdr>
        <w:tabs>
          <w:tab w:val="left" w:pos="432"/>
          <w:tab w:val="left" w:pos="1445"/>
        </w:tabs>
        <w:spacing w:after="120" w:line="360" w:lineRule="auto"/>
        <w:rPr>
          <w:rFonts w:ascii="Arial" w:eastAsia="Arial" w:hAnsi="Arial" w:cs="Arial"/>
          <w:color w:val="010000"/>
          <w:sz w:val="20"/>
          <w:szCs w:val="20"/>
        </w:rPr>
      </w:pPr>
      <w:r w:rsidRPr="00EF3F0D">
        <w:rPr>
          <w:rFonts w:ascii="Arial" w:hAnsi="Arial" w:cs="Arial"/>
          <w:color w:val="010000"/>
          <w:sz w:val="20"/>
        </w:rPr>
        <w:t>Time to sign labor contract: From May 1, 2024 to April 30, 2025.</w:t>
      </w:r>
    </w:p>
    <w:p w14:paraId="0DCE8121"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‎‎Article 4. Organization and Implementation</w:t>
      </w:r>
    </w:p>
    <w:p w14:paraId="463C82D7"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t>The Board of Directors assigns the Chair of the Board, the General Manager of Quang Ngai Sugar Joint Stock Company to organize the implementation of the approved contents following the order, procedures and provisions of current law and the Company’s Charter.</w:t>
      </w:r>
    </w:p>
    <w:p w14:paraId="1A744042" w14:textId="77777777" w:rsidR="00B3790A" w:rsidRPr="00EF3F0D" w:rsidRDefault="00EF3F0D" w:rsidP="00EF3F0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F3F0D">
        <w:rPr>
          <w:rFonts w:ascii="Arial" w:hAnsi="Arial" w:cs="Arial"/>
          <w:color w:val="010000"/>
          <w:sz w:val="20"/>
        </w:rPr>
        <w:lastRenderedPageBreak/>
        <w:t>‎‎Article 5. Terms of enforcement:</w:t>
      </w:r>
    </w:p>
    <w:p w14:paraId="78D1E8C2" w14:textId="77777777" w:rsidR="00B3790A" w:rsidRPr="00EF3F0D" w:rsidRDefault="00EF3F0D" w:rsidP="00EF3F0D">
      <w:pPr>
        <w:numPr>
          <w:ilvl w:val="0"/>
          <w:numId w:val="3"/>
        </w:numPr>
        <w:pBdr>
          <w:top w:val="nil"/>
          <w:left w:val="nil"/>
          <w:bottom w:val="nil"/>
          <w:right w:val="nil"/>
          <w:between w:val="nil"/>
        </w:pBdr>
        <w:tabs>
          <w:tab w:val="left" w:pos="432"/>
          <w:tab w:val="left" w:pos="1445"/>
        </w:tabs>
        <w:spacing w:after="120" w:line="360" w:lineRule="auto"/>
        <w:rPr>
          <w:rFonts w:ascii="Arial" w:eastAsia="Arial" w:hAnsi="Arial" w:cs="Arial"/>
          <w:color w:val="010000"/>
          <w:sz w:val="20"/>
          <w:szCs w:val="20"/>
        </w:rPr>
      </w:pPr>
      <w:r w:rsidRPr="00EF3F0D">
        <w:rPr>
          <w:rFonts w:ascii="Arial" w:hAnsi="Arial" w:cs="Arial"/>
          <w:color w:val="010000"/>
          <w:sz w:val="20"/>
        </w:rPr>
        <w:t>Members of the Board of Directors, the Board of Management of the Company are responsible for implementing this Resolution.</w:t>
      </w:r>
    </w:p>
    <w:p w14:paraId="27DB50F1" w14:textId="77777777" w:rsidR="00B3790A" w:rsidRPr="00EF3F0D" w:rsidRDefault="00EF3F0D" w:rsidP="00EF3F0D">
      <w:pPr>
        <w:numPr>
          <w:ilvl w:val="0"/>
          <w:numId w:val="3"/>
        </w:numPr>
        <w:pBdr>
          <w:top w:val="nil"/>
          <w:left w:val="nil"/>
          <w:bottom w:val="nil"/>
          <w:right w:val="nil"/>
          <w:between w:val="nil"/>
        </w:pBdr>
        <w:tabs>
          <w:tab w:val="left" w:pos="432"/>
          <w:tab w:val="left" w:pos="1452"/>
        </w:tabs>
        <w:spacing w:after="120" w:line="360" w:lineRule="auto"/>
        <w:rPr>
          <w:rFonts w:ascii="Arial" w:eastAsia="Arial" w:hAnsi="Arial" w:cs="Arial"/>
          <w:color w:val="010000"/>
          <w:sz w:val="20"/>
          <w:szCs w:val="20"/>
        </w:rPr>
      </w:pPr>
      <w:r w:rsidRPr="00EF3F0D">
        <w:rPr>
          <w:rFonts w:ascii="Arial" w:hAnsi="Arial" w:cs="Arial"/>
          <w:color w:val="010000"/>
          <w:sz w:val="20"/>
        </w:rPr>
        <w:t>This Resolution takes effect from the date of its signing./.</w:t>
      </w:r>
    </w:p>
    <w:sectPr w:rsidR="00B3790A" w:rsidRPr="00EF3F0D" w:rsidSect="00EF3F0D">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C77"/>
    <w:multiLevelType w:val="multilevel"/>
    <w:tmpl w:val="39FAA0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5B69A4"/>
    <w:multiLevelType w:val="multilevel"/>
    <w:tmpl w:val="F800A3D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0424F4"/>
    <w:multiLevelType w:val="multilevel"/>
    <w:tmpl w:val="D9A6426E"/>
    <w:lvl w:ilvl="0">
      <w:start w:val="1"/>
      <w:numFmt w:val="bullet"/>
      <w:lvlText w:val="+"/>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4EB08D8"/>
    <w:multiLevelType w:val="multilevel"/>
    <w:tmpl w:val="FEAE157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49E4673"/>
    <w:multiLevelType w:val="multilevel"/>
    <w:tmpl w:val="F1BA155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0A"/>
    <w:rsid w:val="0049031B"/>
    <w:rsid w:val="00B3790A"/>
    <w:rsid w:val="00EF3F0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4F94"/>
  <w15:docId w15:val="{615079C1-DBDE-4F3E-BCBE-09CC14A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14B64"/>
      <w:sz w:val="15"/>
      <w:szCs w:val="15"/>
      <w:u w:val="none"/>
      <w:shd w:val="clear" w:color="auto" w:fill="auto"/>
    </w:rPr>
  </w:style>
  <w:style w:type="paragraph" w:styleId="BodyText">
    <w:name w:val="Body Text"/>
    <w:basedOn w:val="Normal"/>
    <w:link w:val="BodyTextChar"/>
    <w:qFormat/>
    <w:pPr>
      <w:spacing w:line="32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6" w:lineRule="auto"/>
    </w:pPr>
    <w:rPr>
      <w:rFonts w:ascii="Times New Roman" w:eastAsia="Times New Roman" w:hAnsi="Times New Roman" w:cs="Times New Roman"/>
      <w:color w:val="FF0000"/>
      <w:sz w:val="17"/>
      <w:szCs w:val="17"/>
    </w:rPr>
  </w:style>
  <w:style w:type="paragraph" w:customStyle="1" w:styleId="Other0">
    <w:name w:val="Other"/>
    <w:basedOn w:val="Normal"/>
    <w:link w:val="Other"/>
    <w:pPr>
      <w:spacing w:line="322" w:lineRule="auto"/>
      <w:ind w:firstLine="400"/>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color w:val="D14B64"/>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pDzm6ubliQccHoY1n87jBaxsJQ==">CgMxLjA4AHIhMUJKSktxcE00d3N3TTRtLVgydFNSRlBOQkxHbTJRTndX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2024-05-02T04:04:00Z</dcterms:created>
  <dcterms:modified xsi:type="dcterms:W3CDTF">2024-05-02T04:04:00Z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0704c444a4c2d22485b4c3a0270e5296877265d90ede2aae361684c0bfb9a82f</vt:lpwstr>
  </property>
</Properties>
</file>